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Z</w:t>
      </w:r>
      <w:r>
        <w:rPr>
          <w:b w:val="1"/>
          <w:bCs w:val="1"/>
          <w:sz w:val="28"/>
          <w:szCs w:val="28"/>
          <w:rtl w:val="0"/>
          <w:lang w:val="en-US"/>
        </w:rPr>
        <w:t>á</w:t>
      </w:r>
      <w:r>
        <w:rPr>
          <w:b w:val="1"/>
          <w:bCs w:val="1"/>
          <w:sz w:val="28"/>
          <w:szCs w:val="28"/>
          <w:rtl w:val="0"/>
          <w:lang w:val="en-US"/>
        </w:rPr>
        <w:t>vazn</w:t>
      </w:r>
      <w:r>
        <w:rPr>
          <w:b w:val="1"/>
          <w:bCs w:val="1"/>
          <w:sz w:val="28"/>
          <w:szCs w:val="28"/>
          <w:rtl w:val="0"/>
          <w:lang w:val="en-US"/>
        </w:rPr>
        <w:t xml:space="preserve">á </w:t>
      </w:r>
      <w:r>
        <w:rPr>
          <w:b w:val="1"/>
          <w:bCs w:val="1"/>
          <w:sz w:val="28"/>
          <w:szCs w:val="28"/>
          <w:rtl w:val="0"/>
          <w:lang w:val="en-US"/>
        </w:rPr>
        <w:t>p</w:t>
      </w:r>
      <w:r>
        <w:rPr>
          <w:b w:val="1"/>
          <w:bCs w:val="1"/>
          <w:sz w:val="28"/>
          <w:szCs w:val="28"/>
          <w:rtl w:val="0"/>
          <w:lang w:val="en-US"/>
        </w:rPr>
        <w:t>ř</w:t>
      </w:r>
      <w:r>
        <w:rPr>
          <w:b w:val="1"/>
          <w:bCs w:val="1"/>
          <w:sz w:val="28"/>
          <w:szCs w:val="28"/>
          <w:rtl w:val="0"/>
          <w:lang w:val="en-US"/>
        </w:rPr>
        <w:t>ihl</w:t>
      </w:r>
      <w:r>
        <w:rPr>
          <w:b w:val="1"/>
          <w:bCs w:val="1"/>
          <w:sz w:val="28"/>
          <w:szCs w:val="28"/>
          <w:rtl w:val="0"/>
          <w:lang w:val="en-US"/>
        </w:rPr>
        <w:t>áš</w:t>
      </w:r>
      <w:r>
        <w:rPr>
          <w:b w:val="1"/>
          <w:bCs w:val="1"/>
          <w:sz w:val="28"/>
          <w:szCs w:val="28"/>
          <w:rtl w:val="0"/>
          <w:lang w:val="en-US"/>
        </w:rPr>
        <w:t>ka na zahrani</w:t>
      </w:r>
      <w:r>
        <w:rPr>
          <w:b w:val="1"/>
          <w:bCs w:val="1"/>
          <w:sz w:val="28"/>
          <w:szCs w:val="28"/>
          <w:rtl w:val="0"/>
          <w:lang w:val="en-US"/>
        </w:rPr>
        <w:t>č</w:t>
      </w:r>
      <w:r>
        <w:rPr>
          <w:b w:val="1"/>
          <w:bCs w:val="1"/>
          <w:sz w:val="28"/>
          <w:szCs w:val="28"/>
          <w:rtl w:val="0"/>
          <w:lang w:val="en-US"/>
        </w:rPr>
        <w:t>n</w:t>
      </w:r>
      <w:r>
        <w:rPr>
          <w:b w:val="1"/>
          <w:bCs w:val="1"/>
          <w:sz w:val="28"/>
          <w:szCs w:val="28"/>
          <w:rtl w:val="0"/>
          <w:lang w:val="en-US"/>
        </w:rPr>
        <w:t xml:space="preserve">í </w:t>
      </w:r>
      <w:r>
        <w:rPr>
          <w:b w:val="1"/>
          <w:bCs w:val="1"/>
          <w:sz w:val="28"/>
          <w:szCs w:val="28"/>
          <w:rtl w:val="0"/>
          <w:lang w:val="en-US"/>
        </w:rPr>
        <w:t>exkurzi</w:t>
      </w:r>
    </w:p>
    <w:p>
      <w:pPr>
        <w:pStyle w:val="Normal.0"/>
        <w:jc w:val="center"/>
        <w:rPr>
          <w:sz w:val="22"/>
          <w:szCs w:val="22"/>
        </w:rPr>
      </w:pPr>
    </w:p>
    <w:tbl>
      <w:tblPr>
        <w:tblW w:w="830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68"/>
        <w:gridCol w:w="5032"/>
      </w:tblGrid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3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Obecn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informace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Akademick</w:t>
            </w:r>
            <w:r>
              <w:rPr>
                <w:shd w:val="nil" w:color="auto" w:fill="auto"/>
                <w:rtl w:val="0"/>
                <w:lang w:val="en-US"/>
              </w:rPr>
              <w:t xml:space="preserve">ý </w:t>
            </w:r>
            <w:r>
              <w:rPr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2024/2025</w:t>
            </w:r>
          </w:p>
        </w:tc>
      </w:tr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zev exkurze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Biennale Arte 2024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3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Specifikace exkurze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M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de-DE"/>
              </w:rPr>
              <w:t>sto exkurze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Ben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tky, It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lie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>Term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de-DE"/>
              </w:rPr>
              <w:t>n exkurze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17.10.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21.10.2024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Cena exkurze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3 000 K</w:t>
            </w:r>
            <w:r>
              <w:rPr>
                <w:shd w:val="nil" w:color="auto" w:fill="auto"/>
                <w:rtl w:val="0"/>
                <w:lang w:val="en-US"/>
              </w:rPr>
              <w:t xml:space="preserve">č </w:t>
            </w:r>
          </w:p>
        </w:tc>
      </w:tr>
      <w:tr>
        <w:tblPrEx>
          <w:shd w:val="clear" w:color="auto" w:fill="d0ddef"/>
        </w:tblPrEx>
        <w:trPr>
          <w:trHeight w:val="486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>Cena zahrnuje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Doprava autobusem, ubytov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se sn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dan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, vstupenka na bien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le</w:t>
            </w:r>
          </w:p>
        </w:tc>
      </w:tr>
      <w:tr>
        <w:tblPrEx>
          <w:shd w:val="clear" w:color="auto" w:fill="d0ddef"/>
        </w:tblPrEx>
        <w:trPr>
          <w:trHeight w:val="399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Splatnost poplatku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30.6.2024 </w:t>
            </w:r>
          </w:p>
        </w:tc>
      </w:tr>
      <w:tr>
        <w:tblPrEx>
          <w:shd w:val="clear" w:color="auto" w:fill="d0ddef"/>
        </w:tblPrEx>
        <w:trPr>
          <w:trHeight w:val="1330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Platebn</w:t>
            </w:r>
            <w:r>
              <w:rPr>
                <w:shd w:val="nil" w:color="auto" w:fill="auto"/>
                <w:rtl w:val="0"/>
                <w:lang w:val="en-US"/>
              </w:rPr>
              <w:t>í ú</w:t>
            </w:r>
            <w:r>
              <w:rPr>
                <w:shd w:val="nil" w:color="auto" w:fill="auto"/>
                <w:rtl w:val="0"/>
                <w:lang w:val="en-US"/>
              </w:rPr>
              <w:t>daje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Bezhotovostn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m p</w:t>
            </w:r>
            <w:r>
              <w:rPr>
                <w:shd w:val="nil" w:color="auto" w:fill="auto"/>
                <w:rtl w:val="0"/>
                <w:lang w:val="en-US"/>
              </w:rPr>
              <w:t>ř</w:t>
            </w:r>
            <w:r>
              <w:rPr>
                <w:shd w:val="nil" w:color="auto" w:fill="auto"/>
                <w:rtl w:val="0"/>
                <w:lang w:val="en-US"/>
              </w:rPr>
              <w:t xml:space="preserve">evodem na </w:t>
            </w:r>
            <w:r>
              <w:rPr>
                <w:shd w:val="nil" w:color="auto" w:fill="auto"/>
                <w:rtl w:val="0"/>
                <w:lang w:val="en-US"/>
              </w:rPr>
              <w:t>úč</w:t>
            </w:r>
            <w:r>
              <w:rPr>
                <w:shd w:val="nil" w:color="auto" w:fill="auto"/>
                <w:rtl w:val="0"/>
                <w:lang w:val="nl-NL"/>
              </w:rPr>
              <w:t>et AVU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242424"/>
                <w:u w:color="242424"/>
                <w:shd w:val="nil" w:color="auto" w:fill="auto"/>
                <w:rtl w:val="0"/>
                <w14:textFill>
                  <w14:solidFill>
                    <w14:srgbClr w14:val="242424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b w:val="1"/>
                <w:bCs w:val="1"/>
                <w:outline w:val="0"/>
                <w:color w:val="242424"/>
                <w:u w:color="242424"/>
                <w:shd w:val="nil" w:color="auto" w:fill="auto"/>
                <w:rtl w:val="0"/>
                <w:lang w:val="en-US"/>
                <w14:textFill>
                  <w14:solidFill>
                    <w14:srgbClr w14:val="242424"/>
                  </w14:solidFill>
                </w14:textFill>
              </w:rPr>
              <w:t>3584260247/0100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VS /studentstvo a pedago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 xml:space="preserve">stvo: </w:t>
            </w:r>
            <w:r>
              <w:rPr>
                <w:b w:val="1"/>
                <w:bCs w:val="1"/>
                <w:outline w:val="0"/>
                <w:color w:val="242424"/>
                <w:u w:color="242424"/>
                <w:shd w:val="nil" w:color="auto" w:fill="auto"/>
                <w:rtl w:val="0"/>
                <w:lang w:val="en-US"/>
                <w14:textFill>
                  <w14:solidFill>
                    <w14:srgbClr w14:val="242424"/>
                  </w14:solidFill>
                </w14:textFill>
              </w:rPr>
              <w:t>0106000124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nl-NL"/>
              </w:rPr>
              <w:t>VS / zam</w:t>
            </w:r>
            <w:r>
              <w:rPr>
                <w:shd w:val="nil" w:color="auto" w:fill="auto"/>
                <w:rtl w:val="0"/>
                <w:lang w:val="en-US"/>
              </w:rPr>
              <w:t>ě</w:t>
            </w:r>
            <w:r>
              <w:rPr>
                <w:shd w:val="nil" w:color="auto" w:fill="auto"/>
                <w:rtl w:val="0"/>
                <w:lang w:val="en-US"/>
              </w:rPr>
              <w:t>stan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(nepedagogi</w:t>
            </w:r>
            <w:r>
              <w:rPr>
                <w:shd w:val="nil" w:color="auto" w:fill="auto"/>
                <w:rtl w:val="0"/>
                <w:lang w:val="en-US"/>
              </w:rPr>
              <w:t>č</w:t>
            </w: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 xml:space="preserve">): </w:t>
            </w:r>
            <w:r>
              <w:rPr>
                <w:b w:val="1"/>
                <w:bCs w:val="1"/>
                <w:outline w:val="0"/>
                <w:color w:val="242424"/>
                <w:u w:color="242424"/>
                <w:shd w:val="nil" w:color="auto" w:fill="auto"/>
                <w:rtl w:val="0"/>
                <w:lang w:val="en-US"/>
                <w14:textFill>
                  <w14:solidFill>
                    <w14:srgbClr w14:val="242424"/>
                  </w14:solidFill>
                </w14:textFill>
              </w:rPr>
              <w:t>0106000224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Do zpr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vy pro p</w:t>
            </w:r>
            <w:r>
              <w:rPr>
                <w:shd w:val="nil" w:color="auto" w:fill="auto"/>
                <w:rtl w:val="0"/>
                <w:lang w:val="en-US"/>
              </w:rPr>
              <w:t>ří</w:t>
            </w:r>
            <w:r>
              <w:rPr>
                <w:shd w:val="nil" w:color="auto" w:fill="auto"/>
                <w:rtl w:val="0"/>
                <w:lang w:val="en-US"/>
              </w:rPr>
              <w:t>jemce uv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 xml:space="preserve">st 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„</w:t>
            </w:r>
            <w:r>
              <w:rPr>
                <w:u w:val="single"/>
                <w:shd w:val="nil" w:color="auto" w:fill="auto"/>
                <w:rtl w:val="0"/>
                <w:lang w:val="fr-FR"/>
              </w:rPr>
              <w:t>Bien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á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le</w:t>
            </w:r>
            <w:r>
              <w:rPr>
                <w:rFonts w:ascii="Arial Unicode MS" w:hAnsi="Arial Unicode MS" w:hint="default"/>
                <w:u w:val="single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shd w:val="nil" w:color="auto" w:fill="auto"/>
                <w:rtl w:val="0"/>
                <w:lang w:val="en-US"/>
              </w:rPr>
              <w:t xml:space="preserve"> a sv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p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ří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jmen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í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3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Ú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daje o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úč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astn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kovi /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úč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astnici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P</w:t>
            </w:r>
            <w:r>
              <w:rPr>
                <w:shd w:val="nil" w:color="auto" w:fill="auto"/>
                <w:rtl w:val="0"/>
                <w:lang w:val="en-US"/>
              </w:rPr>
              <w:t>ří</w:t>
            </w:r>
            <w:r>
              <w:rPr>
                <w:shd w:val="nil" w:color="auto" w:fill="auto"/>
                <w:rtl w:val="0"/>
                <w:lang w:val="en-US"/>
              </w:rPr>
              <w:t>jmen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a jm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no (v tomto po</w:t>
            </w:r>
            <w:r>
              <w:rPr>
                <w:shd w:val="nil" w:color="auto" w:fill="auto"/>
                <w:rtl w:val="0"/>
                <w:lang w:val="en-US"/>
              </w:rPr>
              <w:t>ř</w:t>
            </w:r>
            <w:r>
              <w:rPr>
                <w:shd w:val="nil" w:color="auto" w:fill="auto"/>
                <w:rtl w:val="0"/>
                <w:lang w:val="en-US"/>
              </w:rPr>
              <w:t>ad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Telefonn</w:t>
            </w:r>
            <w:r>
              <w:rPr>
                <w:shd w:val="nil" w:color="auto" w:fill="auto"/>
                <w:rtl w:val="0"/>
                <w:lang w:val="en-US"/>
              </w:rPr>
              <w:t>í čí</w:t>
            </w:r>
            <w:r>
              <w:rPr>
                <w:shd w:val="nil" w:color="auto" w:fill="auto"/>
                <w:rtl w:val="0"/>
                <w:lang w:val="en-US"/>
              </w:rPr>
              <w:t>slo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Datum narozen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St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tn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ob</w:t>
            </w:r>
            <w:r>
              <w:rPr>
                <w:shd w:val="nil" w:color="auto" w:fill="auto"/>
                <w:rtl w:val="0"/>
                <w:lang w:val="en-US"/>
              </w:rPr>
              <w:t>č</w:t>
            </w:r>
            <w:r>
              <w:rPr>
                <w:shd w:val="nil" w:color="auto" w:fill="auto"/>
                <w:rtl w:val="0"/>
                <w:lang w:val="en-US"/>
              </w:rPr>
              <w:t>anstv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Druh cestovn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ho dokladu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Čí</w:t>
            </w:r>
            <w:r>
              <w:rPr>
                <w:shd w:val="nil" w:color="auto" w:fill="auto"/>
                <w:rtl w:val="0"/>
                <w:lang w:val="en-US"/>
              </w:rPr>
              <w:t>slo cestovn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ho dokladu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21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Zem</w:t>
            </w:r>
            <w:r>
              <w:rPr>
                <w:shd w:val="nil" w:color="auto" w:fill="auto"/>
                <w:rtl w:val="0"/>
                <w:lang w:val="en-US"/>
              </w:rPr>
              <w:t>ě</w:t>
            </w:r>
            <w:r>
              <w:rPr>
                <w:shd w:val="nil" w:color="auto" w:fill="auto"/>
                <w:rtl w:val="0"/>
                <w:lang w:val="en-US"/>
              </w:rPr>
              <w:t>, m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sto a datum vyd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cestovn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ho dokladu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Platnost cestovn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ho dokladu do</w:t>
            </w:r>
          </w:p>
        </w:tc>
        <w:tc>
          <w:tcPr>
            <w:tcW w:type="dxa" w:w="5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jc w:val="center"/>
        <w:rPr>
          <w:sz w:val="22"/>
          <w:szCs w:val="22"/>
        </w:rPr>
      </w:pPr>
    </w:p>
    <w:p>
      <w:pPr>
        <w:pStyle w:val="Normal.0"/>
        <w:widowControl w:val="0"/>
        <w:jc w:val="center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Vypln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>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ihl</w:t>
      </w:r>
      <w:r>
        <w:rPr>
          <w:sz w:val="18"/>
          <w:szCs w:val="18"/>
          <w:rtl w:val="0"/>
          <w:lang w:val="en-US"/>
        </w:rPr>
        <w:t>áš</w:t>
      </w:r>
      <w:r>
        <w:rPr>
          <w:sz w:val="18"/>
          <w:szCs w:val="18"/>
          <w:rtl w:val="0"/>
          <w:lang w:val="en-US"/>
        </w:rPr>
        <w:t>ka a pln</w:t>
      </w:r>
      <w:r>
        <w:rPr>
          <w:sz w:val="18"/>
          <w:szCs w:val="18"/>
          <w:rtl w:val="0"/>
          <w:lang w:val="en-US"/>
        </w:rPr>
        <w:t>á ú</w:t>
      </w:r>
      <w:r>
        <w:rPr>
          <w:sz w:val="18"/>
          <w:szCs w:val="18"/>
          <w:rtl w:val="0"/>
          <w:lang w:val="en-US"/>
        </w:rPr>
        <w:t>hrada exkurze v dan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m term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nu (30. 6. 2024) jsou z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vazn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 xml:space="preserve">. </w:t>
      </w:r>
    </w:p>
    <w:p>
      <w:pPr>
        <w:pStyle w:val="Normal.0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rok na 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 xml:space="preserve">sto </w:t>
      </w:r>
      <w:r>
        <w:rPr>
          <w:sz w:val="18"/>
          <w:szCs w:val="18"/>
          <w:rtl w:val="0"/>
          <w:lang w:val="en-US"/>
        </w:rPr>
        <w:t>úč</w:t>
      </w:r>
      <w:r>
        <w:rPr>
          <w:sz w:val="18"/>
          <w:szCs w:val="18"/>
          <w:rtl w:val="0"/>
          <w:lang w:val="en-US"/>
        </w:rPr>
        <w:t>astn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ka/</w:t>
      </w:r>
      <w:r>
        <w:rPr>
          <w:sz w:val="18"/>
          <w:szCs w:val="18"/>
          <w:rtl w:val="0"/>
          <w:lang w:val="en-US"/>
        </w:rPr>
        <w:t>úč</w:t>
      </w:r>
      <w:r>
        <w:rPr>
          <w:sz w:val="18"/>
          <w:szCs w:val="18"/>
          <w:rtl w:val="0"/>
          <w:lang w:val="en-US"/>
        </w:rPr>
        <w:t>astnice vznik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>zaplacen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 xml:space="preserve">m </w:t>
      </w:r>
      <w:r>
        <w:rPr>
          <w:sz w:val="18"/>
          <w:szCs w:val="18"/>
          <w:rtl w:val="0"/>
          <w:lang w:val="en-US"/>
        </w:rPr>
        <w:t>čá</w:t>
      </w:r>
      <w:r>
        <w:rPr>
          <w:sz w:val="18"/>
          <w:szCs w:val="18"/>
          <w:rtl w:val="0"/>
          <w:lang w:val="en-US"/>
        </w:rPr>
        <w:t>stky ve stanoven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m term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nu do vy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erp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kapacity z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jezdu (48 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st pro studentstvo a pedago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stvo, 10 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st pro zam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stnan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 xml:space="preserve">). </w:t>
      </w:r>
    </w:p>
    <w:p>
      <w:pPr>
        <w:pStyle w:val="Normal.0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Z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 xml:space="preserve">jemci </w:t>
      </w:r>
      <w:r>
        <w:rPr>
          <w:sz w:val="18"/>
          <w:szCs w:val="18"/>
          <w:rtl w:val="0"/>
          <w:lang w:val="en-US"/>
        </w:rPr>
        <w:t>„</w:t>
      </w:r>
      <w:r>
        <w:rPr>
          <w:sz w:val="18"/>
          <w:szCs w:val="18"/>
          <w:rtl w:val="0"/>
          <w:lang w:val="en-US"/>
        </w:rPr>
        <w:t xml:space="preserve">pod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arou</w:t>
      </w:r>
      <w:r>
        <w:rPr>
          <w:sz w:val="18"/>
          <w:szCs w:val="18"/>
          <w:rtl w:val="0"/>
          <w:lang w:val="en-US"/>
        </w:rPr>
        <w:t xml:space="preserve">“ </w:t>
      </w:r>
      <w:r>
        <w:rPr>
          <w:sz w:val="18"/>
          <w:szCs w:val="18"/>
          <w:rtl w:val="0"/>
          <w:lang w:val="en-US"/>
        </w:rPr>
        <w:t>budou o p</w:t>
      </w:r>
      <w:r>
        <w:rPr>
          <w:sz w:val="18"/>
          <w:szCs w:val="18"/>
          <w:rtl w:val="0"/>
          <w:lang w:val="en-US"/>
        </w:rPr>
        <w:t>ří</w:t>
      </w:r>
      <w:r>
        <w:rPr>
          <w:sz w:val="18"/>
          <w:szCs w:val="18"/>
          <w:rtl w:val="0"/>
          <w:lang w:val="en-US"/>
        </w:rPr>
        <w:t>padn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ch uvoln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ch 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stech informov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ni do 10.9.2024.</w:t>
      </w:r>
    </w:p>
    <w:p>
      <w:pPr>
        <w:pStyle w:val="Normal.0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Podpisem souhlas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m se zpracov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 xml:space="preserve">m </w:t>
      </w:r>
      <w:r>
        <w:rPr>
          <w:sz w:val="18"/>
          <w:szCs w:val="18"/>
          <w:rtl w:val="0"/>
          <w:lang w:val="en-US"/>
        </w:rPr>
        <w:t>ú</w:t>
      </w:r>
      <w:r>
        <w:rPr>
          <w:sz w:val="18"/>
          <w:szCs w:val="18"/>
          <w:rtl w:val="0"/>
          <w:lang w:val="en-US"/>
        </w:rPr>
        <w:t>daj</w:t>
      </w:r>
      <w:r>
        <w:rPr>
          <w:sz w:val="18"/>
          <w:szCs w:val="18"/>
          <w:rtl w:val="0"/>
          <w:lang w:val="en-US"/>
        </w:rPr>
        <w:t xml:space="preserve">ů </w:t>
      </w:r>
      <w:r>
        <w:rPr>
          <w:sz w:val="18"/>
          <w:szCs w:val="18"/>
          <w:rtl w:val="0"/>
          <w:lang w:val="en-US"/>
        </w:rPr>
        <w:t xml:space="preserve">pro </w:t>
      </w:r>
      <w:r>
        <w:rPr>
          <w:sz w:val="18"/>
          <w:szCs w:val="18"/>
          <w:rtl w:val="0"/>
          <w:lang w:val="en-US"/>
        </w:rPr>
        <w:t>úč</w:t>
      </w:r>
      <w:r>
        <w:rPr>
          <w:sz w:val="18"/>
          <w:szCs w:val="18"/>
          <w:rtl w:val="0"/>
          <w:lang w:val="en-US"/>
        </w:rPr>
        <w:t>ely exkurze podle GDPR.</w:t>
      </w:r>
    </w:p>
    <w:p>
      <w:pPr>
        <w:pStyle w:val="Normal.0"/>
        <w:jc w:val="both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Datum:</w:t>
      </w:r>
    </w:p>
    <w:p>
      <w:pPr>
        <w:pStyle w:val="Normal.0"/>
      </w:pPr>
      <w:r>
        <w:rPr>
          <w:sz w:val="18"/>
          <w:szCs w:val="18"/>
          <w:rtl w:val="0"/>
          <w:lang w:val="en-US"/>
        </w:rPr>
        <w:t xml:space="preserve">Podpis: </w:t>
      </w:r>
    </w:p>
    <w:sectPr>
      <w:headerReference w:type="default" r:id="rId4"/>
      <w:footerReference w:type="default" r:id="rId5"/>
      <w:pgSz w:w="11900" w:h="16840" w:orient="portrait"/>
      <w:pgMar w:top="1276" w:right="1800" w:bottom="1440" w:left="1800" w:header="426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9072"/>
      </w:tabs>
      <w:rPr>
        <w:rFonts w:ascii="Arial" w:cs="Arial" w:hAnsi="Arial" w:eastAsia="Arial"/>
        <w:b w:val="1"/>
        <w:bCs w:val="1"/>
        <w:caps w:val="1"/>
        <w:sz w:val="22"/>
        <w:szCs w:val="22"/>
      </w:rPr>
    </w:pPr>
    <w:r>
      <w:rPr>
        <w:rFonts w:ascii="Arial" w:hAnsi="Arial"/>
        <w:b w:val="1"/>
        <w:bCs w:val="1"/>
        <w:caps w:val="1"/>
        <w:sz w:val="22"/>
        <w:szCs w:val="22"/>
        <w:rtl w:val="0"/>
        <w:lang w:val="en-US"/>
      </w:rPr>
      <w:t>Akademie v</w:t>
    </w:r>
    <w:r>
      <w:rPr>
        <w:rFonts w:ascii="Arial" w:hAnsi="Arial" w:hint="default"/>
        <w:b w:val="1"/>
        <w:bCs w:val="1"/>
        <w:caps w:val="1"/>
        <w:sz w:val="22"/>
        <w:szCs w:val="22"/>
        <w:rtl w:val="0"/>
        <w:lang w:val="en-US"/>
      </w:rPr>
      <w:t>ý</w:t>
    </w:r>
    <w:r>
      <w:rPr>
        <w:rFonts w:ascii="Arial" w:hAnsi="Arial"/>
        <w:b w:val="1"/>
        <w:bCs w:val="1"/>
        <w:caps w:val="1"/>
        <w:sz w:val="22"/>
        <w:szCs w:val="22"/>
        <w:rtl w:val="0"/>
        <w:lang w:val="en-US"/>
      </w:rPr>
      <w:t>tvarn</w:t>
    </w:r>
    <w:r>
      <w:rPr>
        <w:rFonts w:ascii="Arial" w:hAnsi="Arial" w:hint="default"/>
        <w:b w:val="1"/>
        <w:bCs w:val="1"/>
        <w:caps w:val="1"/>
        <w:sz w:val="22"/>
        <w:szCs w:val="22"/>
        <w:rtl w:val="0"/>
        <w:lang w:val="en-US"/>
      </w:rPr>
      <w:t>ý</w:t>
    </w:r>
    <w:r>
      <w:rPr>
        <w:rFonts w:ascii="Arial" w:hAnsi="Arial"/>
        <w:b w:val="1"/>
        <w:bCs w:val="1"/>
        <w:caps w:val="1"/>
        <w:sz w:val="22"/>
        <w:szCs w:val="22"/>
        <w:rtl w:val="0"/>
        <w:lang w:val="en-US"/>
      </w:rPr>
      <w:t>ch um</w:t>
    </w:r>
    <w:r>
      <w:rPr>
        <w:rFonts w:ascii="Arial" w:hAnsi="Arial" w:hint="default"/>
        <w:b w:val="1"/>
        <w:bCs w:val="1"/>
        <w:caps w:val="1"/>
        <w:sz w:val="22"/>
        <w:szCs w:val="22"/>
        <w:rtl w:val="0"/>
        <w:lang w:val="en-US"/>
      </w:rPr>
      <w:t>ě</w:t>
    </w:r>
    <w:r>
      <w:rPr>
        <w:rFonts w:ascii="Arial" w:hAnsi="Arial"/>
        <w:b w:val="1"/>
        <w:bCs w:val="1"/>
        <w:caps w:val="1"/>
        <w:sz w:val="22"/>
        <w:szCs w:val="22"/>
        <w:rtl w:val="0"/>
        <w:lang w:val="en-US"/>
      </w:rPr>
      <w:t>n</w:t>
    </w:r>
    <w:r>
      <w:rPr>
        <w:rFonts w:ascii="Arial" w:hAnsi="Arial" w:hint="default"/>
        <w:b w:val="1"/>
        <w:bCs w:val="1"/>
        <w:caps w:val="1"/>
        <w:sz w:val="22"/>
        <w:szCs w:val="22"/>
        <w:rtl w:val="0"/>
        <w:lang w:val="en-US"/>
      </w:rPr>
      <w:t xml:space="preserve">í </w:t>
    </w:r>
    <w:r>
      <w:rPr>
        <w:rFonts w:ascii="Arial" w:hAnsi="Arial"/>
        <w:b w:val="1"/>
        <w:bCs w:val="1"/>
        <w:caps w:val="1"/>
        <w:sz w:val="22"/>
        <w:szCs w:val="22"/>
        <w:rtl w:val="0"/>
        <w:lang w:val="en-US"/>
      </w:rPr>
      <w:t>v</w:t>
    </w:r>
    <w:r>
      <w:rPr>
        <w:rFonts w:ascii="Arial" w:hAnsi="Arial" w:hint="default"/>
        <w:b w:val="1"/>
        <w:bCs w:val="1"/>
        <w:caps w:val="1"/>
        <w:sz w:val="22"/>
        <w:szCs w:val="22"/>
        <w:rtl w:val="0"/>
        <w:lang w:val="en-US"/>
      </w:rPr>
      <w:t> </w:t>
    </w:r>
    <w:r>
      <w:rPr>
        <w:rFonts w:ascii="Arial" w:hAnsi="Arial"/>
        <w:b w:val="1"/>
        <w:bCs w:val="1"/>
        <w:caps w:val="1"/>
        <w:sz w:val="22"/>
        <w:szCs w:val="22"/>
        <w:rtl w:val="0"/>
        <w:lang w:val="en-US"/>
      </w:rPr>
      <w:t>Praze</w:t>
    </w:r>
  </w:p>
  <w:p>
    <w:pPr>
      <w:pStyle w:val="header"/>
      <w:tabs>
        <w:tab w:val="right" w:pos="8280"/>
        <w:tab w:val="clear" w:pos="9072"/>
      </w:tabs>
    </w:pPr>
    <w:r>
      <w:drawing xmlns:a="http://schemas.openxmlformats.org/drawingml/2006/main">
        <wp:inline distT="0" distB="0" distL="0" distR="0">
          <wp:extent cx="962025" cy="824967"/>
          <wp:effectExtent l="0" t="0" r="0" b="0"/>
          <wp:docPr id="1073741825" name="officeArt object" descr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6" descr="Obrázek 6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8249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