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C932" w14:textId="01CCB06B" w:rsidR="001159F9" w:rsidRPr="00F93F05" w:rsidRDefault="001159F9" w:rsidP="00F93F05">
      <w:pPr>
        <w:spacing w:after="240"/>
        <w:jc w:val="center"/>
        <w:rPr>
          <w:b/>
          <w:bCs/>
          <w:sz w:val="32"/>
          <w:szCs w:val="32"/>
        </w:rPr>
      </w:pPr>
      <w:r w:rsidRPr="00F93F05">
        <w:rPr>
          <w:b/>
          <w:bCs/>
          <w:sz w:val="32"/>
          <w:szCs w:val="32"/>
        </w:rPr>
        <w:t>Lékařský posudek o zdravotní způsobilosti ke studiu na vysoké škole</w:t>
      </w:r>
    </w:p>
    <w:p w14:paraId="6E07337E" w14:textId="7CA308D1" w:rsidR="001159F9" w:rsidRPr="001159F9" w:rsidRDefault="001159F9" w:rsidP="00FF17DD">
      <w:pPr>
        <w:spacing w:before="240" w:after="60"/>
      </w:pPr>
      <w:r>
        <w:rPr>
          <w:b/>
          <w:bCs/>
        </w:rPr>
        <w:t>Akademie výtvarných umění</w:t>
      </w:r>
      <w:r w:rsidRPr="001159F9">
        <w:rPr>
          <w:b/>
          <w:bCs/>
        </w:rPr>
        <w:t xml:space="preserve"> v Praze </w:t>
      </w:r>
    </w:p>
    <w:p w14:paraId="254F48AF" w14:textId="3C7CF68C" w:rsidR="001159F9" w:rsidRPr="001159F9" w:rsidRDefault="001159F9" w:rsidP="00FF17DD">
      <w:pPr>
        <w:spacing w:before="60" w:after="60"/>
        <w:contextualSpacing/>
        <w:rPr>
          <w:sz w:val="22"/>
          <w:szCs w:val="22"/>
        </w:rPr>
      </w:pPr>
      <w:r w:rsidRPr="001159F9">
        <w:rPr>
          <w:sz w:val="22"/>
          <w:szCs w:val="22"/>
        </w:rPr>
        <w:t xml:space="preserve">IČO: </w:t>
      </w:r>
      <w:r w:rsidRPr="009122E8">
        <w:rPr>
          <w:sz w:val="22"/>
          <w:szCs w:val="22"/>
        </w:rPr>
        <w:t>60461446</w:t>
      </w:r>
    </w:p>
    <w:p w14:paraId="6DA4283B" w14:textId="5074EF65" w:rsidR="001159F9" w:rsidRPr="001159F9" w:rsidRDefault="001159F9" w:rsidP="00FF17DD">
      <w:pPr>
        <w:spacing w:before="60" w:after="60"/>
        <w:contextualSpacing/>
        <w:rPr>
          <w:sz w:val="22"/>
          <w:szCs w:val="22"/>
        </w:rPr>
      </w:pPr>
      <w:r w:rsidRPr="001159F9">
        <w:rPr>
          <w:sz w:val="22"/>
          <w:szCs w:val="22"/>
        </w:rPr>
        <w:t xml:space="preserve">se sídlem: </w:t>
      </w:r>
      <w:r w:rsidRPr="009122E8">
        <w:rPr>
          <w:sz w:val="22"/>
          <w:szCs w:val="22"/>
        </w:rPr>
        <w:t xml:space="preserve">U Akademie </w:t>
      </w:r>
      <w:r w:rsidR="00380D94">
        <w:rPr>
          <w:sz w:val="22"/>
          <w:szCs w:val="22"/>
        </w:rPr>
        <w:t>172/</w:t>
      </w:r>
      <w:r w:rsidRPr="009122E8">
        <w:rPr>
          <w:sz w:val="22"/>
          <w:szCs w:val="22"/>
        </w:rPr>
        <w:t xml:space="preserve">4, 170 </w:t>
      </w:r>
      <w:r w:rsidR="00380D94">
        <w:rPr>
          <w:sz w:val="22"/>
          <w:szCs w:val="22"/>
        </w:rPr>
        <w:t>00</w:t>
      </w:r>
      <w:r w:rsidRPr="009122E8">
        <w:rPr>
          <w:sz w:val="22"/>
          <w:szCs w:val="22"/>
        </w:rPr>
        <w:t xml:space="preserve"> Praha 7</w:t>
      </w:r>
    </w:p>
    <w:p w14:paraId="4DA84449" w14:textId="6872EE13" w:rsidR="001159F9" w:rsidRPr="001159F9" w:rsidRDefault="001159F9" w:rsidP="00FF17DD">
      <w:pPr>
        <w:spacing w:before="120" w:after="60"/>
        <w:rPr>
          <w:sz w:val="22"/>
          <w:szCs w:val="22"/>
        </w:rPr>
      </w:pPr>
      <w:r w:rsidRPr="001159F9">
        <w:rPr>
          <w:b/>
          <w:bCs/>
          <w:sz w:val="22"/>
          <w:szCs w:val="22"/>
        </w:rPr>
        <w:t>Studijní program/y:</w:t>
      </w:r>
      <w:r w:rsidR="00D3589E">
        <w:rPr>
          <w:b/>
          <w:bCs/>
          <w:sz w:val="22"/>
          <w:szCs w:val="22"/>
        </w:rPr>
        <w:tab/>
      </w:r>
      <w:r w:rsidR="00FA5799" w:rsidRPr="0002601F">
        <w:rPr>
          <w:sz w:val="22"/>
          <w:szCs w:val="22"/>
        </w:rPr>
        <w:t xml:space="preserve">Restaurování </w:t>
      </w:r>
      <w:r w:rsidR="00590239" w:rsidRPr="0002601F">
        <w:rPr>
          <w:sz w:val="22"/>
          <w:szCs w:val="22"/>
        </w:rPr>
        <w:t xml:space="preserve">moderních </w:t>
      </w:r>
      <w:r w:rsidR="00FA5799" w:rsidRPr="0002601F">
        <w:rPr>
          <w:sz w:val="22"/>
          <w:szCs w:val="22"/>
        </w:rPr>
        <w:t>uměleckých</w:t>
      </w:r>
      <w:r w:rsidR="00590239" w:rsidRPr="0002601F">
        <w:rPr>
          <w:sz w:val="22"/>
          <w:szCs w:val="22"/>
        </w:rPr>
        <w:t xml:space="preserve"> děl z netradičních materiálů</w:t>
      </w:r>
      <w:r w:rsidR="00FA5799" w:rsidRPr="00590239">
        <w:rPr>
          <w:b/>
          <w:bCs/>
          <w:sz w:val="22"/>
          <w:szCs w:val="22"/>
        </w:rPr>
        <w:t xml:space="preserve"> </w:t>
      </w:r>
    </w:p>
    <w:p w14:paraId="4B50913D" w14:textId="331EE87B" w:rsidR="001159F9" w:rsidRPr="001159F9" w:rsidRDefault="001159F9" w:rsidP="00FF17DD">
      <w:pPr>
        <w:spacing w:before="60" w:after="60"/>
        <w:rPr>
          <w:sz w:val="22"/>
          <w:szCs w:val="22"/>
        </w:rPr>
      </w:pPr>
      <w:r w:rsidRPr="001159F9">
        <w:rPr>
          <w:b/>
          <w:bCs/>
          <w:sz w:val="22"/>
          <w:szCs w:val="22"/>
        </w:rPr>
        <w:t xml:space="preserve">Typ studia: </w:t>
      </w:r>
      <w:r w:rsidR="00D3589E">
        <w:rPr>
          <w:b/>
          <w:bCs/>
          <w:sz w:val="22"/>
          <w:szCs w:val="22"/>
        </w:rPr>
        <w:tab/>
      </w:r>
      <w:r w:rsidR="00D3589E">
        <w:rPr>
          <w:b/>
          <w:bCs/>
          <w:sz w:val="22"/>
          <w:szCs w:val="22"/>
        </w:rPr>
        <w:tab/>
      </w:r>
      <w:r w:rsidRPr="001159F9">
        <w:rPr>
          <w:sz w:val="22"/>
          <w:szCs w:val="22"/>
        </w:rPr>
        <w:t xml:space="preserve">magisterské </w:t>
      </w:r>
    </w:p>
    <w:p w14:paraId="5E101B31" w14:textId="23920DB8" w:rsidR="00990F58" w:rsidRPr="001159F9" w:rsidRDefault="001159F9" w:rsidP="00FF17DD">
      <w:pPr>
        <w:spacing w:before="60" w:after="60"/>
        <w:rPr>
          <w:sz w:val="22"/>
          <w:szCs w:val="22"/>
        </w:rPr>
      </w:pPr>
      <w:r w:rsidRPr="001159F9">
        <w:rPr>
          <w:sz w:val="22"/>
          <w:szCs w:val="22"/>
        </w:rPr>
        <w:t>(dále jen „vysoká škola“</w:t>
      </w:r>
      <w:r w:rsidR="00EB6A24">
        <w:rPr>
          <w:sz w:val="22"/>
          <w:szCs w:val="22"/>
        </w:rPr>
        <w:t xml:space="preserve"> nebo „AVU“</w:t>
      </w:r>
      <w:r w:rsidRPr="001159F9">
        <w:rPr>
          <w:sz w:val="22"/>
          <w:szCs w:val="22"/>
        </w:rPr>
        <w:t xml:space="preserve">) </w:t>
      </w:r>
    </w:p>
    <w:p w14:paraId="0545EB8F" w14:textId="77777777" w:rsidR="001159F9" w:rsidRPr="00FF17DD" w:rsidRDefault="001159F9" w:rsidP="00FF17DD">
      <w:pPr>
        <w:spacing w:before="240" w:after="60"/>
        <w:rPr>
          <w:b/>
          <w:bCs/>
        </w:rPr>
      </w:pPr>
      <w:r w:rsidRPr="00FF17DD">
        <w:rPr>
          <w:b/>
          <w:bCs/>
        </w:rPr>
        <w:t xml:space="preserve">Poskytovatel zdravotních služeb vydávající posudek: </w:t>
      </w:r>
    </w:p>
    <w:p w14:paraId="666A8691" w14:textId="29A5C517" w:rsidR="001159F9" w:rsidRPr="001159F9" w:rsidRDefault="006679B0" w:rsidP="00FF17DD">
      <w:pPr>
        <w:spacing w:before="60" w:after="60"/>
        <w:rPr>
          <w:sz w:val="22"/>
          <w:szCs w:val="22"/>
        </w:rPr>
      </w:pPr>
      <w:r>
        <w:rPr>
          <w:sz w:val="22"/>
          <w:szCs w:val="22"/>
        </w:rPr>
        <w:t>N</w:t>
      </w:r>
      <w:r w:rsidR="001159F9" w:rsidRPr="001159F9">
        <w:rPr>
          <w:sz w:val="22"/>
          <w:szCs w:val="22"/>
        </w:rPr>
        <w:t xml:space="preserve">ázev: </w:t>
      </w:r>
    </w:p>
    <w:p w14:paraId="1FB95CAB" w14:textId="77777777" w:rsidR="001159F9" w:rsidRPr="001159F9" w:rsidRDefault="001159F9" w:rsidP="00FF17DD">
      <w:pPr>
        <w:spacing w:before="60" w:after="60"/>
        <w:rPr>
          <w:sz w:val="22"/>
          <w:szCs w:val="22"/>
        </w:rPr>
      </w:pPr>
      <w:r w:rsidRPr="001159F9">
        <w:rPr>
          <w:sz w:val="22"/>
          <w:szCs w:val="22"/>
        </w:rPr>
        <w:t xml:space="preserve">IČO: </w:t>
      </w:r>
    </w:p>
    <w:p w14:paraId="2524C67E" w14:textId="67266F48" w:rsidR="001159F9" w:rsidRPr="001159F9" w:rsidRDefault="006679B0" w:rsidP="00FF17DD">
      <w:pPr>
        <w:spacing w:before="60" w:after="60"/>
        <w:rPr>
          <w:sz w:val="22"/>
          <w:szCs w:val="22"/>
        </w:rPr>
      </w:pPr>
      <w:r>
        <w:rPr>
          <w:sz w:val="22"/>
          <w:szCs w:val="22"/>
        </w:rPr>
        <w:t>A</w:t>
      </w:r>
      <w:r w:rsidR="001159F9" w:rsidRPr="001159F9">
        <w:rPr>
          <w:sz w:val="22"/>
          <w:szCs w:val="22"/>
        </w:rPr>
        <w:t xml:space="preserve">dresa a sídlo podnikání: </w:t>
      </w:r>
    </w:p>
    <w:p w14:paraId="0EDF965C" w14:textId="77777777" w:rsidR="001159F9" w:rsidRPr="001159F9" w:rsidRDefault="001159F9" w:rsidP="00FF17DD">
      <w:pPr>
        <w:spacing w:before="60" w:after="60"/>
        <w:rPr>
          <w:sz w:val="22"/>
          <w:szCs w:val="22"/>
        </w:rPr>
      </w:pPr>
      <w:r w:rsidRPr="001159F9">
        <w:rPr>
          <w:sz w:val="22"/>
          <w:szCs w:val="22"/>
        </w:rPr>
        <w:t xml:space="preserve">(dále jen „poskytovatel zdravotních služeb“) </w:t>
      </w:r>
    </w:p>
    <w:p w14:paraId="3297FEF2" w14:textId="0FA2A2C4" w:rsidR="001159F9" w:rsidRPr="00FF17DD" w:rsidRDefault="001159F9" w:rsidP="00FF17DD">
      <w:pPr>
        <w:spacing w:before="240" w:after="60"/>
        <w:rPr>
          <w:b/>
          <w:bCs/>
        </w:rPr>
      </w:pPr>
      <w:r w:rsidRPr="00FF17DD">
        <w:rPr>
          <w:b/>
          <w:bCs/>
        </w:rPr>
        <w:t xml:space="preserve">Posuzovaná osoba: </w:t>
      </w:r>
    </w:p>
    <w:p w14:paraId="0C1C543F" w14:textId="053B04A1" w:rsidR="001159F9" w:rsidRPr="00FF17DD" w:rsidRDefault="00FF17DD" w:rsidP="00FF17DD">
      <w:pPr>
        <w:spacing w:before="60" w:after="60"/>
        <w:rPr>
          <w:sz w:val="22"/>
          <w:szCs w:val="22"/>
        </w:rPr>
      </w:pPr>
      <w:r>
        <w:rPr>
          <w:sz w:val="22"/>
          <w:szCs w:val="22"/>
        </w:rPr>
        <w:t>J</w:t>
      </w:r>
      <w:r w:rsidR="001159F9" w:rsidRPr="00FF17DD">
        <w:rPr>
          <w:sz w:val="22"/>
          <w:szCs w:val="22"/>
        </w:rPr>
        <w:t xml:space="preserve">méno: </w:t>
      </w:r>
    </w:p>
    <w:p w14:paraId="35D8AF8E" w14:textId="17376B87" w:rsidR="001159F9" w:rsidRPr="00FF17DD" w:rsidRDefault="00FF17DD" w:rsidP="00FF17DD">
      <w:pPr>
        <w:spacing w:before="60" w:after="60"/>
        <w:rPr>
          <w:sz w:val="22"/>
          <w:szCs w:val="22"/>
        </w:rPr>
      </w:pPr>
      <w:r>
        <w:rPr>
          <w:sz w:val="22"/>
          <w:szCs w:val="22"/>
        </w:rPr>
        <w:t>D</w:t>
      </w:r>
      <w:r w:rsidR="001159F9" w:rsidRPr="00FF17DD">
        <w:rPr>
          <w:sz w:val="22"/>
          <w:szCs w:val="22"/>
        </w:rPr>
        <w:t xml:space="preserve">atum narození: </w:t>
      </w:r>
    </w:p>
    <w:p w14:paraId="54D3BD0A" w14:textId="543AA9FC" w:rsidR="001159F9" w:rsidRPr="00FF17DD" w:rsidRDefault="00FF17DD" w:rsidP="00FF17DD">
      <w:pPr>
        <w:spacing w:before="60" w:after="60"/>
        <w:rPr>
          <w:sz w:val="22"/>
          <w:szCs w:val="22"/>
        </w:rPr>
      </w:pPr>
      <w:r>
        <w:rPr>
          <w:sz w:val="22"/>
          <w:szCs w:val="22"/>
        </w:rPr>
        <w:t>B</w:t>
      </w:r>
      <w:r w:rsidR="001159F9" w:rsidRPr="00FF17DD">
        <w:rPr>
          <w:sz w:val="22"/>
          <w:szCs w:val="22"/>
        </w:rPr>
        <w:t xml:space="preserve">ydliště: </w:t>
      </w:r>
    </w:p>
    <w:p w14:paraId="5A081C65" w14:textId="77777777" w:rsidR="001159F9" w:rsidRDefault="001159F9" w:rsidP="00FF17DD">
      <w:pPr>
        <w:spacing w:before="60" w:after="60"/>
        <w:rPr>
          <w:sz w:val="22"/>
          <w:szCs w:val="22"/>
        </w:rPr>
      </w:pPr>
      <w:r w:rsidRPr="001159F9">
        <w:rPr>
          <w:sz w:val="22"/>
          <w:szCs w:val="22"/>
        </w:rPr>
        <w:t xml:space="preserve">(dále jen „posuzovaná osoba“) </w:t>
      </w:r>
    </w:p>
    <w:p w14:paraId="043640E3" w14:textId="77777777" w:rsidR="001159F9" w:rsidRPr="001159F9" w:rsidRDefault="001159F9" w:rsidP="00FF17DD">
      <w:pPr>
        <w:spacing w:before="240" w:after="60"/>
        <w:rPr>
          <w:sz w:val="22"/>
          <w:szCs w:val="22"/>
        </w:rPr>
      </w:pPr>
      <w:r w:rsidRPr="001159F9">
        <w:rPr>
          <w:b/>
          <w:bCs/>
          <w:sz w:val="22"/>
          <w:szCs w:val="22"/>
        </w:rPr>
        <w:t xml:space="preserve">Posuzovaná osoba je ke studiu na vysoké škole ve výše uvedeném programu: </w:t>
      </w:r>
    </w:p>
    <w:p w14:paraId="6DB03566" w14:textId="77777777" w:rsidR="001159F9" w:rsidRPr="009122E8" w:rsidRDefault="001159F9" w:rsidP="00FF17DD">
      <w:pPr>
        <w:pStyle w:val="Odstavecseseznamem"/>
        <w:numPr>
          <w:ilvl w:val="0"/>
          <w:numId w:val="1"/>
        </w:numPr>
        <w:spacing w:before="60" w:after="60"/>
        <w:rPr>
          <w:sz w:val="22"/>
          <w:szCs w:val="22"/>
        </w:rPr>
      </w:pPr>
      <w:r w:rsidRPr="009122E8">
        <w:rPr>
          <w:sz w:val="22"/>
          <w:szCs w:val="22"/>
        </w:rPr>
        <w:t xml:space="preserve">Zdravotně způsobilá </w:t>
      </w:r>
    </w:p>
    <w:p w14:paraId="390F0658" w14:textId="77777777" w:rsidR="001159F9" w:rsidRPr="009122E8" w:rsidRDefault="001159F9" w:rsidP="00FF17DD">
      <w:pPr>
        <w:pStyle w:val="Odstavecseseznamem"/>
        <w:numPr>
          <w:ilvl w:val="0"/>
          <w:numId w:val="1"/>
        </w:numPr>
        <w:spacing w:before="60" w:after="60"/>
        <w:rPr>
          <w:sz w:val="22"/>
          <w:szCs w:val="22"/>
        </w:rPr>
      </w:pPr>
      <w:r w:rsidRPr="009122E8">
        <w:rPr>
          <w:sz w:val="22"/>
          <w:szCs w:val="22"/>
        </w:rPr>
        <w:t xml:space="preserve">Zdravotně způsobilá s podmínkou </w:t>
      </w:r>
    </w:p>
    <w:p w14:paraId="05233620" w14:textId="144513A3" w:rsidR="001159F9" w:rsidRPr="009122E8" w:rsidRDefault="001159F9" w:rsidP="00FF17DD">
      <w:pPr>
        <w:pStyle w:val="Odstavecseseznamem"/>
        <w:numPr>
          <w:ilvl w:val="0"/>
          <w:numId w:val="1"/>
        </w:numPr>
        <w:spacing w:before="60" w:after="60"/>
        <w:rPr>
          <w:sz w:val="22"/>
          <w:szCs w:val="22"/>
        </w:rPr>
      </w:pPr>
      <w:r w:rsidRPr="009122E8">
        <w:rPr>
          <w:sz w:val="22"/>
          <w:szCs w:val="22"/>
        </w:rPr>
        <w:t xml:space="preserve">Zdravotně nezpůsobilá </w:t>
      </w:r>
    </w:p>
    <w:p w14:paraId="30A72735" w14:textId="77777777" w:rsidR="00ED30F9" w:rsidRDefault="001159F9" w:rsidP="00396827">
      <w:pPr>
        <w:spacing w:before="240" w:after="60"/>
        <w:rPr>
          <w:b/>
          <w:bCs/>
          <w:sz w:val="22"/>
          <w:szCs w:val="22"/>
        </w:rPr>
      </w:pPr>
      <w:r w:rsidRPr="001159F9">
        <w:rPr>
          <w:b/>
          <w:bCs/>
          <w:sz w:val="22"/>
          <w:szCs w:val="22"/>
        </w:rPr>
        <w:t xml:space="preserve">Prohlášení posuzované osoby: </w:t>
      </w:r>
    </w:p>
    <w:p w14:paraId="41AD2834" w14:textId="533B5A1E" w:rsidR="00B17BFE" w:rsidRPr="001159F9" w:rsidRDefault="001159F9" w:rsidP="00FF17DD">
      <w:pPr>
        <w:spacing w:before="60" w:after="60"/>
        <w:rPr>
          <w:sz w:val="22"/>
          <w:szCs w:val="22"/>
        </w:rPr>
      </w:pPr>
      <w:r w:rsidRPr="001159F9">
        <w:rPr>
          <w:sz w:val="22"/>
          <w:szCs w:val="22"/>
        </w:rPr>
        <w:t>Prohlašuji, že jsem uvedl/a všechny informace o svém zdravotním stavu, o</w:t>
      </w:r>
      <w:r w:rsidRPr="009122E8">
        <w:rPr>
          <w:sz w:val="22"/>
          <w:szCs w:val="22"/>
        </w:rPr>
        <w:t xml:space="preserve"> </w:t>
      </w:r>
      <w:r w:rsidRPr="001159F9">
        <w:rPr>
          <w:sz w:val="22"/>
          <w:szCs w:val="22"/>
        </w:rPr>
        <w:t>zdravotních omezeních a o užívané medikaci.</w:t>
      </w:r>
    </w:p>
    <w:p w14:paraId="5A0B88A7" w14:textId="73B59F40" w:rsidR="001159F9" w:rsidRPr="001159F9" w:rsidRDefault="001159F9" w:rsidP="00396827">
      <w:pPr>
        <w:spacing w:before="240" w:after="60"/>
        <w:rPr>
          <w:sz w:val="22"/>
          <w:szCs w:val="22"/>
        </w:rPr>
      </w:pPr>
      <w:r w:rsidRPr="001159F9">
        <w:rPr>
          <w:sz w:val="22"/>
          <w:szCs w:val="22"/>
        </w:rPr>
        <w:t>Podpis posuzované osoby:</w:t>
      </w:r>
      <w:r w:rsidR="00396827">
        <w:rPr>
          <w:sz w:val="22"/>
          <w:szCs w:val="22"/>
        </w:rPr>
        <w:tab/>
      </w:r>
      <w:r w:rsidRPr="001159F9">
        <w:rPr>
          <w:sz w:val="22"/>
          <w:szCs w:val="22"/>
        </w:rPr>
        <w:t xml:space="preserve">……………………………………………. </w:t>
      </w:r>
    </w:p>
    <w:p w14:paraId="07864B82" w14:textId="7CED237A" w:rsidR="001159F9" w:rsidRDefault="001159F9" w:rsidP="00FF17DD">
      <w:pPr>
        <w:spacing w:before="60" w:after="60"/>
        <w:rPr>
          <w:sz w:val="22"/>
          <w:szCs w:val="22"/>
        </w:rPr>
      </w:pPr>
      <w:r w:rsidRPr="001159F9">
        <w:rPr>
          <w:sz w:val="22"/>
          <w:szCs w:val="22"/>
        </w:rPr>
        <w:t>Doba platnosti posudku:</w:t>
      </w:r>
      <w:r w:rsidR="00396827">
        <w:rPr>
          <w:sz w:val="22"/>
          <w:szCs w:val="22"/>
        </w:rPr>
        <w:tab/>
      </w:r>
      <w:r w:rsidR="00396827" w:rsidRPr="001159F9">
        <w:rPr>
          <w:sz w:val="22"/>
          <w:szCs w:val="22"/>
        </w:rPr>
        <w:t>…………………………………………….</w:t>
      </w:r>
    </w:p>
    <w:p w14:paraId="57D92091" w14:textId="375DBBE6" w:rsidR="00B17BFE" w:rsidRDefault="00B17BFE" w:rsidP="00A5116C">
      <w:pPr>
        <w:spacing w:before="240" w:after="60"/>
        <w:rPr>
          <w:sz w:val="22"/>
          <w:szCs w:val="22"/>
        </w:rPr>
      </w:pPr>
      <w:r>
        <w:rPr>
          <w:sz w:val="22"/>
          <w:szCs w:val="22"/>
        </w:rPr>
        <w:t xml:space="preserve">Nedílnou součástí tohoto lékařského posudku o zdravotní způsobilosti ke studiu na vysoké škole je </w:t>
      </w:r>
      <w:r w:rsidR="00972CDF" w:rsidRPr="00972CDF">
        <w:rPr>
          <w:i/>
          <w:iCs/>
          <w:sz w:val="22"/>
          <w:szCs w:val="22"/>
        </w:rPr>
        <w:t>Příloha č. 1: Upozornění na zdravotní rizika spojená se studiem</w:t>
      </w:r>
      <w:r w:rsidR="00972CDF">
        <w:rPr>
          <w:sz w:val="22"/>
          <w:szCs w:val="22"/>
        </w:rPr>
        <w:t>.</w:t>
      </w:r>
    </w:p>
    <w:p w14:paraId="57B81BA2" w14:textId="77777777" w:rsidR="00616275" w:rsidRPr="001159F9" w:rsidRDefault="00616275" w:rsidP="00FF17DD">
      <w:pPr>
        <w:spacing w:before="60" w:after="60"/>
        <w:rPr>
          <w:sz w:val="22"/>
          <w:szCs w:val="22"/>
        </w:rPr>
      </w:pPr>
    </w:p>
    <w:p w14:paraId="460B6FBA" w14:textId="0F57291D" w:rsidR="001159F9" w:rsidRPr="001159F9" w:rsidRDefault="001159F9" w:rsidP="00FF17DD">
      <w:pPr>
        <w:spacing w:before="60" w:after="60"/>
        <w:rPr>
          <w:sz w:val="22"/>
          <w:szCs w:val="22"/>
        </w:rPr>
      </w:pPr>
      <w:r w:rsidRPr="001159F9">
        <w:rPr>
          <w:sz w:val="22"/>
          <w:szCs w:val="22"/>
        </w:rPr>
        <w:t>V ……………… dne</w:t>
      </w:r>
      <w:r w:rsidR="00FC73EB" w:rsidRPr="009122E8">
        <w:rPr>
          <w:sz w:val="22"/>
          <w:szCs w:val="22"/>
        </w:rPr>
        <w:t>…………………</w:t>
      </w:r>
      <w:r w:rsidR="00FC73EB" w:rsidRPr="009122E8">
        <w:rPr>
          <w:sz w:val="22"/>
          <w:szCs w:val="22"/>
        </w:rPr>
        <w:tab/>
      </w:r>
      <w:r w:rsidR="00FC73EB" w:rsidRPr="009122E8">
        <w:rPr>
          <w:sz w:val="22"/>
          <w:szCs w:val="22"/>
        </w:rPr>
        <w:tab/>
      </w:r>
      <w:r w:rsidR="00FC73EB" w:rsidRPr="009122E8">
        <w:rPr>
          <w:sz w:val="22"/>
          <w:szCs w:val="22"/>
        </w:rPr>
        <w:tab/>
      </w:r>
      <w:r w:rsidR="00AC0610">
        <w:rPr>
          <w:sz w:val="22"/>
          <w:szCs w:val="22"/>
        </w:rPr>
        <w:tab/>
      </w:r>
      <w:r w:rsidR="00AC0610" w:rsidRPr="001159F9">
        <w:rPr>
          <w:sz w:val="22"/>
          <w:szCs w:val="22"/>
        </w:rPr>
        <w:t>……………………………………………</w:t>
      </w:r>
      <w:r w:rsidR="0090391D">
        <w:rPr>
          <w:sz w:val="22"/>
          <w:szCs w:val="22"/>
        </w:rPr>
        <w:t>…………..</w:t>
      </w:r>
    </w:p>
    <w:p w14:paraId="3FCA0092" w14:textId="35159C55" w:rsidR="001159F9" w:rsidRPr="001159F9" w:rsidRDefault="00FC73EB" w:rsidP="00AC0610">
      <w:pPr>
        <w:spacing w:after="60"/>
        <w:ind w:left="4956"/>
        <w:rPr>
          <w:sz w:val="22"/>
          <w:szCs w:val="22"/>
        </w:rPr>
      </w:pPr>
      <w:r w:rsidRPr="009122E8">
        <w:rPr>
          <w:b/>
          <w:bCs/>
          <w:sz w:val="22"/>
          <w:szCs w:val="22"/>
        </w:rPr>
        <w:t xml:space="preserve">    </w:t>
      </w:r>
      <w:r w:rsidR="001159F9" w:rsidRPr="001159F9">
        <w:rPr>
          <w:b/>
          <w:bCs/>
          <w:sz w:val="22"/>
          <w:szCs w:val="22"/>
        </w:rPr>
        <w:t xml:space="preserve">poskytovatel zdravotních služeb </w:t>
      </w:r>
    </w:p>
    <w:p w14:paraId="4384BE40" w14:textId="121BE7A4" w:rsidR="001159F9" w:rsidRPr="001159F9" w:rsidRDefault="00816146" w:rsidP="00816146">
      <w:pPr>
        <w:spacing w:after="0"/>
        <w:ind w:left="5664"/>
      </w:pPr>
      <w:r>
        <w:rPr>
          <w:sz w:val="22"/>
          <w:szCs w:val="22"/>
        </w:rPr>
        <w:t xml:space="preserve">       </w:t>
      </w:r>
      <w:r w:rsidR="001159F9" w:rsidRPr="001159F9">
        <w:rPr>
          <w:sz w:val="22"/>
          <w:szCs w:val="22"/>
        </w:rPr>
        <w:t>razítko a podpis</w:t>
      </w:r>
      <w:r w:rsidR="001159F9" w:rsidRPr="001159F9">
        <w:t xml:space="preserve"> </w:t>
      </w:r>
    </w:p>
    <w:p w14:paraId="32896914" w14:textId="77777777" w:rsidR="00A5116C" w:rsidRDefault="00A5116C" w:rsidP="00DC20BC">
      <w:pPr>
        <w:jc w:val="both"/>
        <w:rPr>
          <w:i/>
          <w:iCs/>
          <w:sz w:val="16"/>
          <w:szCs w:val="16"/>
        </w:rPr>
      </w:pPr>
    </w:p>
    <w:p w14:paraId="56837597" w14:textId="38C68281" w:rsidR="001159F9" w:rsidRPr="00816146" w:rsidRDefault="001159F9" w:rsidP="00DC20BC">
      <w:pPr>
        <w:jc w:val="both"/>
        <w:rPr>
          <w:sz w:val="20"/>
          <w:szCs w:val="20"/>
        </w:rPr>
      </w:pPr>
      <w:r w:rsidRPr="00816146">
        <w:rPr>
          <w:i/>
          <w:iCs/>
          <w:sz w:val="20"/>
          <w:szCs w:val="20"/>
        </w:rPr>
        <w:lastRenderedPageBreak/>
        <w:t xml:space="preserve">Poučení: </w:t>
      </w:r>
    </w:p>
    <w:p w14:paraId="0C43019E" w14:textId="79827820" w:rsidR="00A5116C" w:rsidRPr="00816146" w:rsidRDefault="001159F9" w:rsidP="00DC20BC">
      <w:pPr>
        <w:jc w:val="both"/>
        <w:rPr>
          <w:i/>
          <w:iCs/>
          <w:sz w:val="20"/>
          <w:szCs w:val="20"/>
        </w:rPr>
      </w:pPr>
      <w:r w:rsidRPr="00816146">
        <w:rPr>
          <w:i/>
          <w:iCs/>
          <w:sz w:val="20"/>
          <w:szCs w:val="20"/>
        </w:rPr>
        <w:t xml:space="preserve">Proti tomuto lékařskému posudku lze v souladu s § 46 odst. 1 zákona č. 373/2011 Sb., o specifických zdravotních službách, ve znění pozdějších předpisů (dále jen „zákon o specifických zdravotních službách“), podat návrh na přezkoumání, a to v době do 10 pracovních dnů ode dne jeho prokazatelného předání, má-li posuzovaná osoba nebo osoba, které uplatněním lékařského posudku vznikají práva nebo povinnosti, za to, že lékařský posudek je nesprávný. Návrh se podává prostřednictvím poskytovatele zdravotních služeb, který lékařský posudek vydal. Návrh na přezkoumání lékařského posudku nemá odkladný účinek v případech uvedených v § 46 odst. 3 zákona o specifických zdravotních službách. Posuzovaná osoba se může práva na přezkoumání lékařského posudku písemně vzdát. </w:t>
      </w:r>
    </w:p>
    <w:p w14:paraId="04004D46" w14:textId="0E893F97" w:rsidR="00FC73EB" w:rsidRPr="00816146" w:rsidRDefault="00A5116C" w:rsidP="001159F9">
      <w:pPr>
        <w:rPr>
          <w:i/>
          <w:iCs/>
          <w:sz w:val="20"/>
          <w:szCs w:val="20"/>
        </w:rPr>
      </w:pPr>
      <w:r w:rsidRPr="00816146">
        <w:rPr>
          <w:i/>
          <w:iCs/>
          <w:sz w:val="20"/>
          <w:szCs w:val="20"/>
        </w:rPr>
        <w:br w:type="page"/>
      </w:r>
    </w:p>
    <w:p w14:paraId="0D9E1E98" w14:textId="237DF427" w:rsidR="00DC20BC" w:rsidRDefault="00380421" w:rsidP="001159F9">
      <w:pPr>
        <w:rPr>
          <w:sz w:val="20"/>
          <w:szCs w:val="20"/>
        </w:rPr>
      </w:pPr>
      <w:r>
        <w:rPr>
          <w:b/>
          <w:bCs/>
          <w:sz w:val="32"/>
          <w:szCs w:val="32"/>
        </w:rPr>
        <w:lastRenderedPageBreak/>
        <w:t>Příloha č. 1: U</w:t>
      </w:r>
      <w:r w:rsidRPr="00380421">
        <w:rPr>
          <w:b/>
          <w:bCs/>
          <w:sz w:val="32"/>
          <w:szCs w:val="32"/>
        </w:rPr>
        <w:t>pozornění na zdravotní rizika související se studiem</w:t>
      </w:r>
    </w:p>
    <w:p w14:paraId="3861F619" w14:textId="00510A4A" w:rsidR="001159F9" w:rsidRPr="00380421" w:rsidRDefault="009613BD" w:rsidP="00E15CC4">
      <w:pPr>
        <w:spacing w:before="240" w:after="60" w:line="240" w:lineRule="auto"/>
        <w:jc w:val="both"/>
        <w:rPr>
          <w:sz w:val="22"/>
          <w:szCs w:val="22"/>
        </w:rPr>
      </w:pPr>
      <w:r>
        <w:rPr>
          <w:sz w:val="22"/>
          <w:szCs w:val="22"/>
        </w:rPr>
        <w:t>Informace obsažené v této příloze jsou určen</w:t>
      </w:r>
      <w:r w:rsidR="001560E2">
        <w:rPr>
          <w:sz w:val="22"/>
          <w:szCs w:val="22"/>
        </w:rPr>
        <w:t>é</w:t>
      </w:r>
      <w:r>
        <w:rPr>
          <w:sz w:val="22"/>
          <w:szCs w:val="22"/>
        </w:rPr>
        <w:t xml:space="preserve"> pro lékaře</w:t>
      </w:r>
      <w:r w:rsidR="001560E2">
        <w:rPr>
          <w:sz w:val="22"/>
          <w:szCs w:val="22"/>
        </w:rPr>
        <w:t>/</w:t>
      </w:r>
      <w:r w:rsidR="00525BFA">
        <w:rPr>
          <w:sz w:val="22"/>
          <w:szCs w:val="22"/>
        </w:rPr>
        <w:t>lékařku</w:t>
      </w:r>
      <w:r>
        <w:rPr>
          <w:sz w:val="22"/>
          <w:szCs w:val="22"/>
        </w:rPr>
        <w:t xml:space="preserve"> posuzující</w:t>
      </w:r>
      <w:r w:rsidR="001560E2">
        <w:rPr>
          <w:sz w:val="22"/>
          <w:szCs w:val="22"/>
        </w:rPr>
        <w:t>/ho</w:t>
      </w:r>
      <w:r>
        <w:rPr>
          <w:sz w:val="22"/>
          <w:szCs w:val="22"/>
        </w:rPr>
        <w:t xml:space="preserve"> zdravotní způsobilost uchazeče/uchazečky o studium na vysoké škole. P</w:t>
      </w:r>
      <w:r w:rsidR="009C4F88" w:rsidRPr="00380421">
        <w:rPr>
          <w:sz w:val="22"/>
          <w:szCs w:val="22"/>
        </w:rPr>
        <w:t>ro snazší posouzení zdravotní způsobilosti uchazeče</w:t>
      </w:r>
      <w:r w:rsidR="00BF6287">
        <w:rPr>
          <w:sz w:val="22"/>
          <w:szCs w:val="22"/>
        </w:rPr>
        <w:t xml:space="preserve"> /uchazečky</w:t>
      </w:r>
      <w:r w:rsidR="009C4F88" w:rsidRPr="00380421">
        <w:rPr>
          <w:sz w:val="22"/>
          <w:szCs w:val="22"/>
        </w:rPr>
        <w:t xml:space="preserve"> o studium</w:t>
      </w:r>
      <w:r w:rsidR="00EB6A24">
        <w:rPr>
          <w:sz w:val="22"/>
          <w:szCs w:val="22"/>
        </w:rPr>
        <w:t xml:space="preserve"> na AVU</w:t>
      </w:r>
      <w:r w:rsidR="009C4F88" w:rsidRPr="00380421">
        <w:rPr>
          <w:sz w:val="22"/>
          <w:szCs w:val="22"/>
        </w:rPr>
        <w:t xml:space="preserve">, jehož část bude probíhat na Vysoké škole chemicko-technologické v Praze </w:t>
      </w:r>
      <w:r w:rsidR="00CD3935">
        <w:rPr>
          <w:sz w:val="22"/>
          <w:szCs w:val="22"/>
        </w:rPr>
        <w:t>jsou níže shrnuty</w:t>
      </w:r>
      <w:r w:rsidR="009C4F88" w:rsidRPr="00380421">
        <w:rPr>
          <w:sz w:val="22"/>
          <w:szCs w:val="22"/>
        </w:rPr>
        <w:t xml:space="preserve"> informace o možných zdravotních rizicích studia.</w:t>
      </w:r>
      <w:r w:rsidR="001159F9" w:rsidRPr="00380421">
        <w:rPr>
          <w:sz w:val="22"/>
          <w:szCs w:val="22"/>
        </w:rPr>
        <w:t xml:space="preserve"> </w:t>
      </w:r>
    </w:p>
    <w:p w14:paraId="212AEAA3" w14:textId="198497C0" w:rsidR="001159F9" w:rsidRPr="00380421" w:rsidRDefault="001159F9" w:rsidP="00E15CC4">
      <w:pPr>
        <w:spacing w:before="120" w:after="60" w:line="240" w:lineRule="auto"/>
        <w:jc w:val="both"/>
        <w:rPr>
          <w:sz w:val="22"/>
          <w:szCs w:val="22"/>
        </w:rPr>
      </w:pPr>
      <w:r w:rsidRPr="00380421">
        <w:rPr>
          <w:sz w:val="22"/>
          <w:szCs w:val="22"/>
        </w:rPr>
        <w:t xml:space="preserve">Studium </w:t>
      </w:r>
      <w:r w:rsidR="00783030" w:rsidRPr="00380421">
        <w:rPr>
          <w:sz w:val="22"/>
          <w:szCs w:val="22"/>
        </w:rPr>
        <w:t>programu</w:t>
      </w:r>
      <w:r w:rsidR="00A4399F" w:rsidRPr="00380421">
        <w:rPr>
          <w:sz w:val="22"/>
          <w:szCs w:val="22"/>
        </w:rPr>
        <w:t xml:space="preserve"> Restaurování moderních uměleckých děl z netradičních materiálů</w:t>
      </w:r>
      <w:r w:rsidRPr="00380421">
        <w:rPr>
          <w:sz w:val="22"/>
          <w:szCs w:val="22"/>
        </w:rPr>
        <w:t xml:space="preserve"> je spojeno s vysokým podílem práce v chemických a technologických laboratořích, kde mají studenti přístup k široké škále chemických látek, manipulují a přicházejí do přímého kontaktu s nimi. Pro široký rozsah nelze chemické látky taxativně vyjmenovat. V rámci laboratorní praxe může být ohroženo nejen zdraví studenta, ale může být i studentem ohroženo zdraví ostatních osob. Proto je žádoucí při posuzování zdravotní způsobilosti ke studiu přihlédnout kromě obecné zdravotní způsobilosti též k nemocem a chorobným stavům, které mohou být kontraindikací pro práci s chemickými látkami, případně představují pro tuto práci určitá omezení. </w:t>
      </w:r>
    </w:p>
    <w:p w14:paraId="0678229F" w14:textId="025DAD4F" w:rsidR="001159F9" w:rsidRPr="00380421" w:rsidRDefault="001159F9" w:rsidP="00E15CC4">
      <w:pPr>
        <w:spacing w:before="120" w:after="60" w:line="240" w:lineRule="auto"/>
        <w:jc w:val="both"/>
        <w:rPr>
          <w:sz w:val="22"/>
          <w:szCs w:val="22"/>
        </w:rPr>
      </w:pPr>
      <w:r w:rsidRPr="00380421">
        <w:rPr>
          <w:sz w:val="22"/>
          <w:szCs w:val="22"/>
        </w:rPr>
        <w:t xml:space="preserve">S odvoláním na Přílohu č. 2 Vyhlášky </w:t>
      </w:r>
      <w:r w:rsidR="00954D47">
        <w:rPr>
          <w:sz w:val="22"/>
          <w:szCs w:val="22"/>
        </w:rPr>
        <w:t xml:space="preserve">č. </w:t>
      </w:r>
      <w:r w:rsidRPr="00380421">
        <w:rPr>
          <w:sz w:val="22"/>
          <w:szCs w:val="22"/>
        </w:rPr>
        <w:t>79/2013 Sb., části Chemické faktory, se jedná zejména otyto nemoci a chorobné stavy:</w:t>
      </w:r>
    </w:p>
    <w:p w14:paraId="49D4D21A" w14:textId="77777777" w:rsidR="001159F9" w:rsidRPr="00380421" w:rsidRDefault="001159F9" w:rsidP="00E15CC4">
      <w:pPr>
        <w:spacing w:before="120" w:after="60" w:line="240" w:lineRule="auto"/>
        <w:jc w:val="both"/>
        <w:rPr>
          <w:sz w:val="22"/>
          <w:szCs w:val="22"/>
        </w:rPr>
      </w:pPr>
      <w:r w:rsidRPr="00380421">
        <w:rPr>
          <w:b/>
          <w:bCs/>
          <w:sz w:val="22"/>
          <w:szCs w:val="22"/>
        </w:rPr>
        <w:t xml:space="preserve">Nemoci, které jsou kontraindikací ke studiu, pokud není příslušným specialistou posouzeno jinak: </w:t>
      </w:r>
    </w:p>
    <w:p w14:paraId="048D0CF6" w14:textId="574830FF" w:rsidR="001159F9" w:rsidRPr="00E644F6" w:rsidRDefault="001159F9" w:rsidP="00E644F6">
      <w:pPr>
        <w:pStyle w:val="Odstavecseseznamem"/>
        <w:numPr>
          <w:ilvl w:val="0"/>
          <w:numId w:val="3"/>
        </w:numPr>
        <w:spacing w:before="120" w:after="60" w:line="240" w:lineRule="auto"/>
        <w:jc w:val="both"/>
        <w:rPr>
          <w:sz w:val="22"/>
          <w:szCs w:val="22"/>
        </w:rPr>
      </w:pPr>
      <w:r w:rsidRPr="00E644F6">
        <w:rPr>
          <w:sz w:val="22"/>
          <w:szCs w:val="22"/>
        </w:rPr>
        <w:t xml:space="preserve">závažné nemoci duševní (zejména nemoci prognosticky závažné či nemoci s opakovanou dekompenzací a nutností opakované ústavní léčby), </w:t>
      </w:r>
    </w:p>
    <w:p w14:paraId="3236E0DB" w14:textId="583D4CCC" w:rsidR="001159F9" w:rsidRPr="00E644F6" w:rsidRDefault="001159F9" w:rsidP="00E644F6">
      <w:pPr>
        <w:pStyle w:val="Odstavecseseznamem"/>
        <w:numPr>
          <w:ilvl w:val="0"/>
          <w:numId w:val="3"/>
        </w:numPr>
        <w:spacing w:before="120" w:after="60" w:line="240" w:lineRule="auto"/>
        <w:jc w:val="both"/>
        <w:rPr>
          <w:sz w:val="22"/>
          <w:szCs w:val="22"/>
        </w:rPr>
      </w:pPr>
      <w:r w:rsidRPr="00E644F6">
        <w:rPr>
          <w:sz w:val="22"/>
          <w:szCs w:val="22"/>
        </w:rPr>
        <w:t xml:space="preserve">závažné poruchy osobnosti s poruchami chování, </w:t>
      </w:r>
    </w:p>
    <w:p w14:paraId="7E5D00D4" w14:textId="6277A7A1" w:rsidR="001159F9" w:rsidRPr="00E644F6" w:rsidRDefault="001159F9" w:rsidP="00E644F6">
      <w:pPr>
        <w:pStyle w:val="Odstavecseseznamem"/>
        <w:numPr>
          <w:ilvl w:val="0"/>
          <w:numId w:val="3"/>
        </w:numPr>
        <w:spacing w:before="120" w:after="60" w:line="240" w:lineRule="auto"/>
        <w:jc w:val="both"/>
        <w:rPr>
          <w:sz w:val="22"/>
          <w:szCs w:val="22"/>
        </w:rPr>
      </w:pPr>
      <w:r w:rsidRPr="00E644F6">
        <w:rPr>
          <w:sz w:val="22"/>
          <w:szCs w:val="22"/>
        </w:rPr>
        <w:t xml:space="preserve">současná alkoholová nebo drogová závislost. </w:t>
      </w:r>
    </w:p>
    <w:p w14:paraId="009E7B75" w14:textId="77777777" w:rsidR="001159F9" w:rsidRPr="00380421" w:rsidRDefault="001159F9" w:rsidP="00E15CC4">
      <w:pPr>
        <w:spacing w:before="120" w:after="60" w:line="240" w:lineRule="auto"/>
        <w:jc w:val="both"/>
        <w:rPr>
          <w:sz w:val="22"/>
          <w:szCs w:val="22"/>
        </w:rPr>
      </w:pPr>
      <w:r w:rsidRPr="00380421">
        <w:rPr>
          <w:b/>
          <w:bCs/>
          <w:sz w:val="22"/>
          <w:szCs w:val="22"/>
        </w:rPr>
        <w:t xml:space="preserve">Systémová onemocnění, jejichž průběh může být negativně ovlivněn při expozici chemickým látkám: </w:t>
      </w:r>
    </w:p>
    <w:p w14:paraId="5AF2D7DF" w14:textId="0761F54F" w:rsidR="001159F9" w:rsidRPr="00E644F6" w:rsidRDefault="001159F9" w:rsidP="00E644F6">
      <w:pPr>
        <w:pStyle w:val="Odstavecseseznamem"/>
        <w:numPr>
          <w:ilvl w:val="0"/>
          <w:numId w:val="3"/>
        </w:numPr>
        <w:spacing w:before="120" w:after="60" w:line="240" w:lineRule="auto"/>
        <w:jc w:val="both"/>
        <w:rPr>
          <w:sz w:val="22"/>
          <w:szCs w:val="22"/>
        </w:rPr>
      </w:pPr>
      <w:r w:rsidRPr="00E644F6">
        <w:rPr>
          <w:sz w:val="22"/>
          <w:szCs w:val="22"/>
        </w:rPr>
        <w:t xml:space="preserve">prognosticky závažná onemocnění nervového systému, </w:t>
      </w:r>
    </w:p>
    <w:p w14:paraId="315071D6" w14:textId="174F7460" w:rsidR="001159F9" w:rsidRPr="00E644F6" w:rsidRDefault="001159F9" w:rsidP="00E644F6">
      <w:pPr>
        <w:pStyle w:val="Odstavecseseznamem"/>
        <w:numPr>
          <w:ilvl w:val="0"/>
          <w:numId w:val="3"/>
        </w:numPr>
        <w:spacing w:before="120" w:after="60" w:line="240" w:lineRule="auto"/>
        <w:jc w:val="both"/>
        <w:rPr>
          <w:sz w:val="22"/>
          <w:szCs w:val="22"/>
        </w:rPr>
      </w:pPr>
      <w:r w:rsidRPr="00E644F6">
        <w:rPr>
          <w:sz w:val="22"/>
          <w:szCs w:val="22"/>
        </w:rPr>
        <w:t xml:space="preserve">prognosticky závažná onemocnění jater, </w:t>
      </w:r>
    </w:p>
    <w:p w14:paraId="762BEC4A" w14:textId="114662AE" w:rsidR="001159F9" w:rsidRPr="00E644F6" w:rsidRDefault="001159F9" w:rsidP="00E644F6">
      <w:pPr>
        <w:pStyle w:val="Odstavecseseznamem"/>
        <w:numPr>
          <w:ilvl w:val="0"/>
          <w:numId w:val="3"/>
        </w:numPr>
        <w:spacing w:before="120" w:after="60" w:line="240" w:lineRule="auto"/>
        <w:jc w:val="both"/>
        <w:rPr>
          <w:sz w:val="22"/>
          <w:szCs w:val="22"/>
        </w:rPr>
      </w:pPr>
      <w:r w:rsidRPr="00E644F6">
        <w:rPr>
          <w:sz w:val="22"/>
          <w:szCs w:val="22"/>
        </w:rPr>
        <w:t xml:space="preserve">prognosticky závažná onemocnění ledvin. </w:t>
      </w:r>
    </w:p>
    <w:p w14:paraId="4FEFE4F1" w14:textId="77777777" w:rsidR="001159F9" w:rsidRPr="00380421" w:rsidRDefault="001159F9" w:rsidP="00E15CC4">
      <w:pPr>
        <w:spacing w:before="120" w:after="60" w:line="240" w:lineRule="auto"/>
        <w:jc w:val="both"/>
        <w:rPr>
          <w:sz w:val="22"/>
          <w:szCs w:val="22"/>
        </w:rPr>
      </w:pPr>
      <w:r w:rsidRPr="00380421">
        <w:rPr>
          <w:b/>
          <w:bCs/>
          <w:sz w:val="22"/>
          <w:szCs w:val="22"/>
        </w:rPr>
        <w:t xml:space="preserve">Onemocnění, která mohou představovat určitá omezení při studiu s nutností omezení či vyloučení expozice určitým látkám: </w:t>
      </w:r>
    </w:p>
    <w:p w14:paraId="23EA2D8C" w14:textId="6ECDB4AD" w:rsidR="00451ED0" w:rsidRPr="008F03AA" w:rsidRDefault="001159F9" w:rsidP="008F03AA">
      <w:pPr>
        <w:pStyle w:val="Odstavecseseznamem"/>
        <w:numPr>
          <w:ilvl w:val="0"/>
          <w:numId w:val="3"/>
        </w:numPr>
        <w:spacing w:before="120" w:after="60" w:line="240" w:lineRule="auto"/>
        <w:jc w:val="both"/>
        <w:rPr>
          <w:sz w:val="22"/>
          <w:szCs w:val="22"/>
        </w:rPr>
      </w:pPr>
      <w:r w:rsidRPr="00E644F6">
        <w:rPr>
          <w:sz w:val="22"/>
          <w:szCs w:val="22"/>
        </w:rPr>
        <w:t xml:space="preserve">onemocnění alergická, zejména alergická onemocnění kůže a dýchacího systému (při prokázané alergii na konkrétní látku vyznačit vyloučení kontaktu s touto látkou). </w:t>
      </w:r>
    </w:p>
    <w:sectPr w:rsidR="00451ED0" w:rsidRPr="008F03AA" w:rsidSect="00616275">
      <w:headerReference w:type="default" r:id="rId11"/>
      <w:footerReference w:type="default" r:id="rId12"/>
      <w:pgSz w:w="11906" w:h="16838"/>
      <w:pgMar w:top="1417" w:right="1417" w:bottom="1417" w:left="141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422C" w14:textId="77777777" w:rsidR="00A96147" w:rsidRDefault="00A96147" w:rsidP="000F487A">
      <w:pPr>
        <w:spacing w:after="0" w:line="240" w:lineRule="auto"/>
      </w:pPr>
      <w:r>
        <w:separator/>
      </w:r>
    </w:p>
  </w:endnote>
  <w:endnote w:type="continuationSeparator" w:id="0">
    <w:p w14:paraId="5BD7853C" w14:textId="77777777" w:rsidR="00A96147" w:rsidRDefault="00A96147" w:rsidP="000F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E93" w14:textId="0D90E85C" w:rsidR="000F487A" w:rsidRPr="000F487A" w:rsidRDefault="000F487A" w:rsidP="000F487A">
    <w:pPr>
      <w:pStyle w:val="Zpat"/>
    </w:pPr>
  </w:p>
  <w:p w14:paraId="39097EC3" w14:textId="0C1B5433" w:rsidR="000F487A" w:rsidRDefault="000F487A">
    <w:pPr>
      <w:pStyle w:val="Zpat"/>
    </w:pPr>
  </w:p>
  <w:p w14:paraId="3ADC3745" w14:textId="77777777" w:rsidR="000F487A" w:rsidRDefault="000F48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175E" w14:textId="77777777" w:rsidR="00A96147" w:rsidRDefault="00A96147" w:rsidP="000F487A">
      <w:pPr>
        <w:spacing w:after="0" w:line="240" w:lineRule="auto"/>
      </w:pPr>
      <w:r>
        <w:separator/>
      </w:r>
    </w:p>
  </w:footnote>
  <w:footnote w:type="continuationSeparator" w:id="0">
    <w:p w14:paraId="3A758189" w14:textId="77777777" w:rsidR="00A96147" w:rsidRDefault="00A96147" w:rsidP="000F4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16DC" w14:textId="3B2191F8" w:rsidR="00AB47E3" w:rsidRDefault="00FF17DD" w:rsidP="00FF17DD">
    <w:pPr>
      <w:pStyle w:val="Zhlav"/>
      <w:jc w:val="right"/>
    </w:pPr>
    <w:r>
      <w:rPr>
        <w:noProof/>
      </w:rPr>
      <w:drawing>
        <wp:inline distT="0" distB="0" distL="0" distR="0" wp14:anchorId="68E5ED05" wp14:editId="09D50BBF">
          <wp:extent cx="1259205" cy="10833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B26"/>
    <w:multiLevelType w:val="hybridMultilevel"/>
    <w:tmpl w:val="5A6689D0"/>
    <w:lvl w:ilvl="0" w:tplc="CD4A14F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8C34BE"/>
    <w:multiLevelType w:val="hybridMultilevel"/>
    <w:tmpl w:val="110EB494"/>
    <w:lvl w:ilvl="0" w:tplc="CD4A14F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FE6EB0"/>
    <w:multiLevelType w:val="hybridMultilevel"/>
    <w:tmpl w:val="255454D0"/>
    <w:lvl w:ilvl="0" w:tplc="CD4A14F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A3326D"/>
    <w:multiLevelType w:val="hybridMultilevel"/>
    <w:tmpl w:val="5E6CD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C61348"/>
    <w:multiLevelType w:val="hybridMultilevel"/>
    <w:tmpl w:val="AAE6E084"/>
    <w:lvl w:ilvl="0" w:tplc="8FCE3C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F9"/>
    <w:rsid w:val="0002601F"/>
    <w:rsid w:val="000E1068"/>
    <w:rsid w:val="000F487A"/>
    <w:rsid w:val="00102D2C"/>
    <w:rsid w:val="001159F9"/>
    <w:rsid w:val="001560E2"/>
    <w:rsid w:val="001861B5"/>
    <w:rsid w:val="002112FD"/>
    <w:rsid w:val="00306D7D"/>
    <w:rsid w:val="003563E8"/>
    <w:rsid w:val="00380421"/>
    <w:rsid w:val="00380D94"/>
    <w:rsid w:val="00396827"/>
    <w:rsid w:val="0041189B"/>
    <w:rsid w:val="00451ED0"/>
    <w:rsid w:val="0046421B"/>
    <w:rsid w:val="004B7AA3"/>
    <w:rsid w:val="004E7E68"/>
    <w:rsid w:val="005177E8"/>
    <w:rsid w:val="00525BFA"/>
    <w:rsid w:val="00590239"/>
    <w:rsid w:val="00591319"/>
    <w:rsid w:val="005C2E96"/>
    <w:rsid w:val="00616275"/>
    <w:rsid w:val="00635690"/>
    <w:rsid w:val="006504B1"/>
    <w:rsid w:val="00652B80"/>
    <w:rsid w:val="006679B0"/>
    <w:rsid w:val="00690B39"/>
    <w:rsid w:val="00713969"/>
    <w:rsid w:val="00713ADD"/>
    <w:rsid w:val="00783030"/>
    <w:rsid w:val="00816146"/>
    <w:rsid w:val="008925A7"/>
    <w:rsid w:val="008B657D"/>
    <w:rsid w:val="008B7323"/>
    <w:rsid w:val="008F03AA"/>
    <w:rsid w:val="009019B2"/>
    <w:rsid w:val="0090391D"/>
    <w:rsid w:val="009122E8"/>
    <w:rsid w:val="00954D47"/>
    <w:rsid w:val="009613BD"/>
    <w:rsid w:val="00972CDF"/>
    <w:rsid w:val="00990F58"/>
    <w:rsid w:val="009C4F88"/>
    <w:rsid w:val="009E6F4A"/>
    <w:rsid w:val="00A01F62"/>
    <w:rsid w:val="00A3151A"/>
    <w:rsid w:val="00A4399F"/>
    <w:rsid w:val="00A5116C"/>
    <w:rsid w:val="00A55435"/>
    <w:rsid w:val="00A863B0"/>
    <w:rsid w:val="00A96147"/>
    <w:rsid w:val="00AA1157"/>
    <w:rsid w:val="00AB47E3"/>
    <w:rsid w:val="00AC0610"/>
    <w:rsid w:val="00B17BFE"/>
    <w:rsid w:val="00BF6287"/>
    <w:rsid w:val="00C04E44"/>
    <w:rsid w:val="00CD3935"/>
    <w:rsid w:val="00D2722C"/>
    <w:rsid w:val="00D3589E"/>
    <w:rsid w:val="00D57130"/>
    <w:rsid w:val="00DC20BC"/>
    <w:rsid w:val="00E13441"/>
    <w:rsid w:val="00E15CC4"/>
    <w:rsid w:val="00E644F6"/>
    <w:rsid w:val="00E71A6A"/>
    <w:rsid w:val="00E84C51"/>
    <w:rsid w:val="00EB6A24"/>
    <w:rsid w:val="00ED30F9"/>
    <w:rsid w:val="00F56CA4"/>
    <w:rsid w:val="00F93F05"/>
    <w:rsid w:val="00FA5799"/>
    <w:rsid w:val="00FC73EB"/>
    <w:rsid w:val="00FF1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63994"/>
  <w15:chartTrackingRefBased/>
  <w15:docId w15:val="{E97B19DE-4DDB-49D0-9886-8D1C2D28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15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15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159F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159F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159F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159F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159F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159F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159F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59F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159F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159F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159F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159F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159F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159F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159F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159F9"/>
    <w:rPr>
      <w:rFonts w:eastAsiaTheme="majorEastAsia" w:cstheme="majorBidi"/>
      <w:color w:val="272727" w:themeColor="text1" w:themeTint="D8"/>
    </w:rPr>
  </w:style>
  <w:style w:type="paragraph" w:styleId="Nzev">
    <w:name w:val="Title"/>
    <w:basedOn w:val="Normln"/>
    <w:next w:val="Normln"/>
    <w:link w:val="NzevChar"/>
    <w:uiPriority w:val="10"/>
    <w:qFormat/>
    <w:rsid w:val="00115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159F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159F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159F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159F9"/>
    <w:pPr>
      <w:spacing w:before="160"/>
      <w:jc w:val="center"/>
    </w:pPr>
    <w:rPr>
      <w:i/>
      <w:iCs/>
      <w:color w:val="404040" w:themeColor="text1" w:themeTint="BF"/>
    </w:rPr>
  </w:style>
  <w:style w:type="character" w:customStyle="1" w:styleId="CittChar">
    <w:name w:val="Citát Char"/>
    <w:basedOn w:val="Standardnpsmoodstavce"/>
    <w:link w:val="Citt"/>
    <w:uiPriority w:val="29"/>
    <w:rsid w:val="001159F9"/>
    <w:rPr>
      <w:i/>
      <w:iCs/>
      <w:color w:val="404040" w:themeColor="text1" w:themeTint="BF"/>
    </w:rPr>
  </w:style>
  <w:style w:type="paragraph" w:styleId="Odstavecseseznamem">
    <w:name w:val="List Paragraph"/>
    <w:basedOn w:val="Normln"/>
    <w:uiPriority w:val="34"/>
    <w:qFormat/>
    <w:rsid w:val="001159F9"/>
    <w:pPr>
      <w:ind w:left="720"/>
      <w:contextualSpacing/>
    </w:pPr>
  </w:style>
  <w:style w:type="character" w:styleId="Zdraznnintenzivn">
    <w:name w:val="Intense Emphasis"/>
    <w:basedOn w:val="Standardnpsmoodstavce"/>
    <w:uiPriority w:val="21"/>
    <w:qFormat/>
    <w:rsid w:val="001159F9"/>
    <w:rPr>
      <w:i/>
      <w:iCs/>
      <w:color w:val="0F4761" w:themeColor="accent1" w:themeShade="BF"/>
    </w:rPr>
  </w:style>
  <w:style w:type="paragraph" w:styleId="Vrazncitt">
    <w:name w:val="Intense Quote"/>
    <w:basedOn w:val="Normln"/>
    <w:next w:val="Normln"/>
    <w:link w:val="VrazncittChar"/>
    <w:uiPriority w:val="30"/>
    <w:qFormat/>
    <w:rsid w:val="00115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159F9"/>
    <w:rPr>
      <w:i/>
      <w:iCs/>
      <w:color w:val="0F4761" w:themeColor="accent1" w:themeShade="BF"/>
    </w:rPr>
  </w:style>
  <w:style w:type="character" w:styleId="Odkazintenzivn">
    <w:name w:val="Intense Reference"/>
    <w:basedOn w:val="Standardnpsmoodstavce"/>
    <w:uiPriority w:val="32"/>
    <w:qFormat/>
    <w:rsid w:val="001159F9"/>
    <w:rPr>
      <w:b/>
      <w:bCs/>
      <w:smallCaps/>
      <w:color w:val="0F4761" w:themeColor="accent1" w:themeShade="BF"/>
      <w:spacing w:val="5"/>
    </w:rPr>
  </w:style>
  <w:style w:type="paragraph" w:styleId="Zhlav">
    <w:name w:val="header"/>
    <w:basedOn w:val="Normln"/>
    <w:link w:val="ZhlavChar"/>
    <w:uiPriority w:val="99"/>
    <w:unhideWhenUsed/>
    <w:rsid w:val="000F48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87A"/>
  </w:style>
  <w:style w:type="paragraph" w:styleId="Zpat">
    <w:name w:val="footer"/>
    <w:basedOn w:val="Normln"/>
    <w:link w:val="ZpatChar"/>
    <w:uiPriority w:val="99"/>
    <w:unhideWhenUsed/>
    <w:rsid w:val="000F487A"/>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87A"/>
  </w:style>
  <w:style w:type="paragraph" w:styleId="Normlnweb">
    <w:name w:val="Normal (Web)"/>
    <w:basedOn w:val="Normln"/>
    <w:uiPriority w:val="99"/>
    <w:semiHidden/>
    <w:unhideWhenUsed/>
    <w:rsid w:val="000F487A"/>
    <w:rPr>
      <w:rFonts w:ascii="Times New Roman" w:hAnsi="Times New Roman" w:cs="Times New Roman"/>
    </w:rPr>
  </w:style>
  <w:style w:type="character" w:styleId="Odkaznakoment">
    <w:name w:val="annotation reference"/>
    <w:basedOn w:val="Standardnpsmoodstavce"/>
    <w:uiPriority w:val="99"/>
    <w:semiHidden/>
    <w:unhideWhenUsed/>
    <w:rsid w:val="00A01F62"/>
    <w:rPr>
      <w:sz w:val="16"/>
      <w:szCs w:val="16"/>
    </w:rPr>
  </w:style>
  <w:style w:type="paragraph" w:styleId="Textkomente">
    <w:name w:val="annotation text"/>
    <w:basedOn w:val="Normln"/>
    <w:link w:val="TextkomenteChar"/>
    <w:uiPriority w:val="99"/>
    <w:unhideWhenUsed/>
    <w:rsid w:val="00A01F62"/>
    <w:pPr>
      <w:spacing w:line="240" w:lineRule="auto"/>
    </w:pPr>
    <w:rPr>
      <w:sz w:val="20"/>
      <w:szCs w:val="20"/>
    </w:rPr>
  </w:style>
  <w:style w:type="character" w:customStyle="1" w:styleId="TextkomenteChar">
    <w:name w:val="Text komentáře Char"/>
    <w:basedOn w:val="Standardnpsmoodstavce"/>
    <w:link w:val="Textkomente"/>
    <w:uiPriority w:val="99"/>
    <w:rsid w:val="00A01F62"/>
    <w:rPr>
      <w:sz w:val="20"/>
      <w:szCs w:val="20"/>
    </w:rPr>
  </w:style>
  <w:style w:type="paragraph" w:styleId="Pedmtkomente">
    <w:name w:val="annotation subject"/>
    <w:basedOn w:val="Textkomente"/>
    <w:next w:val="Textkomente"/>
    <w:link w:val="PedmtkomenteChar"/>
    <w:uiPriority w:val="99"/>
    <w:semiHidden/>
    <w:unhideWhenUsed/>
    <w:rsid w:val="00A01F62"/>
    <w:rPr>
      <w:b/>
      <w:bCs/>
    </w:rPr>
  </w:style>
  <w:style w:type="character" w:customStyle="1" w:styleId="PedmtkomenteChar">
    <w:name w:val="Předmět komentáře Char"/>
    <w:basedOn w:val="TextkomenteChar"/>
    <w:link w:val="Pedmtkomente"/>
    <w:uiPriority w:val="99"/>
    <w:semiHidden/>
    <w:rsid w:val="00A01F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5795">
      <w:bodyDiv w:val="1"/>
      <w:marLeft w:val="0"/>
      <w:marRight w:val="0"/>
      <w:marTop w:val="0"/>
      <w:marBottom w:val="0"/>
      <w:divBdr>
        <w:top w:val="none" w:sz="0" w:space="0" w:color="auto"/>
        <w:left w:val="none" w:sz="0" w:space="0" w:color="auto"/>
        <w:bottom w:val="none" w:sz="0" w:space="0" w:color="auto"/>
        <w:right w:val="none" w:sz="0" w:space="0" w:color="auto"/>
      </w:divBdr>
    </w:div>
    <w:div w:id="1085759541">
      <w:bodyDiv w:val="1"/>
      <w:marLeft w:val="0"/>
      <w:marRight w:val="0"/>
      <w:marTop w:val="0"/>
      <w:marBottom w:val="0"/>
      <w:divBdr>
        <w:top w:val="none" w:sz="0" w:space="0" w:color="auto"/>
        <w:left w:val="none" w:sz="0" w:space="0" w:color="auto"/>
        <w:bottom w:val="none" w:sz="0" w:space="0" w:color="auto"/>
        <w:right w:val="none" w:sz="0" w:space="0" w:color="auto"/>
      </w:divBdr>
    </w:div>
    <w:div w:id="1530944692">
      <w:bodyDiv w:val="1"/>
      <w:marLeft w:val="0"/>
      <w:marRight w:val="0"/>
      <w:marTop w:val="0"/>
      <w:marBottom w:val="0"/>
      <w:divBdr>
        <w:top w:val="none" w:sz="0" w:space="0" w:color="auto"/>
        <w:left w:val="none" w:sz="0" w:space="0" w:color="auto"/>
        <w:bottom w:val="none" w:sz="0" w:space="0" w:color="auto"/>
        <w:right w:val="none" w:sz="0" w:space="0" w:color="auto"/>
      </w:divBdr>
    </w:div>
    <w:div w:id="1562641003">
      <w:bodyDiv w:val="1"/>
      <w:marLeft w:val="0"/>
      <w:marRight w:val="0"/>
      <w:marTop w:val="0"/>
      <w:marBottom w:val="0"/>
      <w:divBdr>
        <w:top w:val="none" w:sz="0" w:space="0" w:color="auto"/>
        <w:left w:val="none" w:sz="0" w:space="0" w:color="auto"/>
        <w:bottom w:val="none" w:sz="0" w:space="0" w:color="auto"/>
        <w:right w:val="none" w:sz="0" w:space="0" w:color="auto"/>
      </w:divBdr>
    </w:div>
    <w:div w:id="1902014301">
      <w:bodyDiv w:val="1"/>
      <w:marLeft w:val="0"/>
      <w:marRight w:val="0"/>
      <w:marTop w:val="0"/>
      <w:marBottom w:val="0"/>
      <w:divBdr>
        <w:top w:val="none" w:sz="0" w:space="0" w:color="auto"/>
        <w:left w:val="none" w:sz="0" w:space="0" w:color="auto"/>
        <w:bottom w:val="none" w:sz="0" w:space="0" w:color="auto"/>
        <w:right w:val="none" w:sz="0" w:space="0" w:color="auto"/>
      </w:divBdr>
    </w:div>
    <w:div w:id="19047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87CF246F988849A4E874A5831E43C4" ma:contentTypeVersion="18" ma:contentTypeDescription="Vytvoří nový dokument" ma:contentTypeScope="" ma:versionID="5ef7bd78bdc5e260d0f2815a9842e4d8">
  <xsd:schema xmlns:xsd="http://www.w3.org/2001/XMLSchema" xmlns:xs="http://www.w3.org/2001/XMLSchema" xmlns:p="http://schemas.microsoft.com/office/2006/metadata/properties" xmlns:ns2="a7504e4d-5992-48a4-ba82-984ad0f1bc75" xmlns:ns3="1dfd6b0d-9369-448c-be17-9bbe6b9108a1" targetNamespace="http://schemas.microsoft.com/office/2006/metadata/properties" ma:root="true" ma:fieldsID="4320f8e6ba1724d92ffb1eeb0fbf4677" ns2:_="" ns3:_="">
    <xsd:import namespace="a7504e4d-5992-48a4-ba82-984ad0f1bc75"/>
    <xsd:import namespace="1dfd6b0d-9369-448c-be17-9bbe6b9108a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04e4d-5992-48a4-ba82-984ad0f1bc7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TaxCatchAll" ma:index="20" nillable="true" ma:displayName="Taxonomy Catch All Column" ma:hidden="true" ma:list="{c6108c1f-1f69-4857-af2d-2c9d96200ec8}" ma:internalName="TaxCatchAll" ma:showField="CatchAllData" ma:web="a7504e4d-5992-48a4-ba82-984ad0f1bc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fd6b0d-9369-448c-be17-9bbe6b9108a1"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b65d3ea-0971-4b47-92d7-2077c2970fd1"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dfd6b0d-9369-448c-be17-9bbe6b9108a1">
      <UserInfo>
        <DisplayName/>
        <AccountId xsi:nil="true"/>
        <AccountType/>
      </UserInfo>
    </SharedWithUsers>
    <lcf76f155ced4ddcb4097134ff3c332f xmlns="1dfd6b0d-9369-448c-be17-9bbe6b9108a1">
      <Terms xmlns="http://schemas.microsoft.com/office/infopath/2007/PartnerControls"/>
    </lcf76f155ced4ddcb4097134ff3c332f>
    <TaxCatchAll xmlns="a7504e4d-5992-48a4-ba82-984ad0f1bc75" xsi:nil="true"/>
    <SharedWithDetails xmlns="1dfd6b0d-9369-448c-be17-9bbe6b9108a1" xsi:nil="true"/>
    <_dlc_DocId xmlns="a7504e4d-5992-48a4-ba82-984ad0f1bc75">TDNVJQAH3DR4-1118522536-1871</_dlc_DocId>
    <_dlc_DocIdUrl xmlns="a7504e4d-5992-48a4-ba82-984ad0f1bc75">
      <Url>https://avupraha.sharepoint.com/sites/NPO/_layouts/15/DocIdRedir.aspx?ID=TDNVJQAH3DR4-1118522536-1871</Url>
      <Description>TDNVJQAH3DR4-1118522536-1871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0336F0-6569-4FBE-A969-79EE47AA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04e4d-5992-48a4-ba82-984ad0f1bc75"/>
    <ds:schemaRef ds:uri="1dfd6b0d-9369-448c-be17-9bbe6b910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0BD3D-5C5C-480A-92B4-275C6EDB2689}">
  <ds:schemaRefs>
    <ds:schemaRef ds:uri="http://schemas.microsoft.com/office/2006/metadata/properties"/>
    <ds:schemaRef ds:uri="http://schemas.microsoft.com/office/infopath/2007/PartnerControls"/>
    <ds:schemaRef ds:uri="1dfd6b0d-9369-448c-be17-9bbe6b9108a1"/>
    <ds:schemaRef ds:uri="a7504e4d-5992-48a4-ba82-984ad0f1bc75"/>
  </ds:schemaRefs>
</ds:datastoreItem>
</file>

<file path=customXml/itemProps3.xml><?xml version="1.0" encoding="utf-8"?>
<ds:datastoreItem xmlns:ds="http://schemas.openxmlformats.org/officeDocument/2006/customXml" ds:itemID="{240756E2-9976-4E79-AD43-739678447D03}">
  <ds:schemaRefs>
    <ds:schemaRef ds:uri="http://schemas.microsoft.com/sharepoint/v3/contenttype/forms"/>
  </ds:schemaRefs>
</ds:datastoreItem>
</file>

<file path=customXml/itemProps4.xml><?xml version="1.0" encoding="utf-8"?>
<ds:datastoreItem xmlns:ds="http://schemas.openxmlformats.org/officeDocument/2006/customXml" ds:itemID="{1D0A05BE-6374-486B-9C38-E66A0B9FF2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3504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Grosman Barbora</dc:creator>
  <cp:keywords/>
  <dc:description/>
  <cp:lastModifiedBy>Kroužková Adéla</cp:lastModifiedBy>
  <cp:revision>3</cp:revision>
  <dcterms:created xsi:type="dcterms:W3CDTF">2024-10-25T13:08:00Z</dcterms:created>
  <dcterms:modified xsi:type="dcterms:W3CDTF">2024-10-25T13:08:00Z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0x0101006887CF246F988849A4E874A5831E43C4</vt:lpwstr>
  </property>
  <property fmtid="{D5CDD505-2E9C-101B-9397-08002B2CF9AE}" pid="3" name="_dlc_DocIdItemGuid">
    <vt:lpwstr>2dc0252e-5c02-407d-99ed-fa50b7f5a1c0</vt:lpwstr>
  </property>
  <property fmtid="{D5CDD505-2E9C-101B-9397-08002B2CF9AE}" pid="4" name="MediaServiceImageTags">
    <vt:lpwstr/>
  </property>
</Properties>
</file>